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A4A94" w:rsidP="0096792B">
      <w:pPr>
        <w:jc w:val="right"/>
      </w:pPr>
      <w:r>
        <w:t>Sandomierz 21</w:t>
      </w:r>
      <w:r w:rsidR="001F3EAB">
        <w:t xml:space="preserve"> styczeń 2025</w:t>
      </w:r>
      <w:r w:rsidR="0096792B" w:rsidRPr="0046277B">
        <w:t xml:space="preserve"> rok</w:t>
      </w:r>
    </w:p>
    <w:p w:rsidR="0096792B" w:rsidRPr="0046277B" w:rsidRDefault="001F3EAB" w:rsidP="0096792B">
      <w:bookmarkStart w:id="0" w:name="_GoBack"/>
      <w:r>
        <w:t>GN.683.8</w:t>
      </w:r>
      <w:r w:rsidR="00FC55A6">
        <w:t>.12</w:t>
      </w:r>
      <w:r>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AB.6740.3</w:t>
      </w:r>
      <w:r w:rsidR="002752F9">
        <w:rPr>
          <w:sz w:val="20"/>
        </w:rPr>
        <w:t>.202</w:t>
      </w:r>
      <w:r w:rsidR="001F3EAB">
        <w:rPr>
          <w:sz w:val="20"/>
        </w:rPr>
        <w:t>2.SPEC z dnia 30 czerwca  2022 roku Decyzja 7</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377C2D">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9A64BF">
        <w:rPr>
          <w:b/>
        </w:rPr>
        <w:t>1.275</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9A64BF">
        <w:rPr>
          <w:b/>
        </w:rPr>
        <w:t>jeden tysiąc dwieście siedemdziesiąt pięć</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A64BF">
        <w:t xml:space="preserve">łącznej </w:t>
      </w:r>
      <w:r w:rsidR="0096792B" w:rsidRPr="0046277B">
        <w:t xml:space="preserve">powierzchni </w:t>
      </w:r>
      <w:r w:rsidR="00377C2D">
        <w:rPr>
          <w:b/>
        </w:rPr>
        <w:t>0,0048</w:t>
      </w:r>
      <w:r w:rsidR="00847C7C">
        <w:rPr>
          <w:b/>
        </w:rPr>
        <w:t xml:space="preserve"> </w:t>
      </w:r>
      <w:r w:rsidR="0096792B" w:rsidRPr="0046277B">
        <w:rPr>
          <w:b/>
        </w:rPr>
        <w:t>ha</w:t>
      </w:r>
      <w:r w:rsidRPr="0046277B">
        <w:t xml:space="preserve"> położoną w</w:t>
      </w:r>
      <w:r w:rsidR="00663C31">
        <w:t>e wsi</w:t>
      </w:r>
      <w:r w:rsidR="00975405">
        <w:t xml:space="preserve"> Krobielice</w:t>
      </w:r>
      <w:r w:rsidR="00F51F7D" w:rsidRPr="0046277B">
        <w:t xml:space="preserve"> </w:t>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377C2D">
        <w:t>gruntów numerami</w:t>
      </w:r>
      <w:r w:rsidR="00242811">
        <w:t xml:space="preserve"> </w:t>
      </w:r>
      <w:r w:rsidR="00377C2D">
        <w:t>działek</w:t>
      </w:r>
      <w:r w:rsidR="0096792B" w:rsidRPr="0046277B">
        <w:t xml:space="preserve"> </w:t>
      </w:r>
      <w:r w:rsidR="00377C2D">
        <w:rPr>
          <w:b/>
        </w:rPr>
        <w:t>148</w:t>
      </w:r>
      <w:r w:rsidR="0084358E">
        <w:rPr>
          <w:b/>
        </w:rPr>
        <w:t>/1</w:t>
      </w:r>
      <w:r w:rsidR="00377C2D">
        <w:rPr>
          <w:b/>
        </w:rPr>
        <w:t xml:space="preserve"> i 219/1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975405">
        <w:t>Nr AB.6740.3</w:t>
      </w:r>
      <w:r w:rsidR="003F1488">
        <w:t>.2022</w:t>
      </w:r>
      <w:r w:rsidR="00E5129D" w:rsidRPr="0046277B">
        <w:t xml:space="preserve">.SPEC </w:t>
      </w:r>
      <w:r w:rsidR="00975405">
        <w:t>Decyzja 7</w:t>
      </w:r>
      <w:r w:rsidR="003F1488">
        <w:t>/2022</w:t>
      </w:r>
      <w:r w:rsidR="002752F9">
        <w:t xml:space="preserve"> z </w:t>
      </w:r>
      <w:r w:rsidR="00975405">
        <w:t>dnia 30 czerwca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667755">
        <w:rPr>
          <w:i/>
        </w:rPr>
        <w:t>Budowa drog</w:t>
      </w:r>
      <w:r w:rsidR="00975405">
        <w:rPr>
          <w:i/>
        </w:rPr>
        <w:t>i gminnej od km 0+000 do km 0+550 w miejscowości Krobielice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AB.6740.3</w:t>
      </w:r>
      <w:r w:rsidR="003F1488">
        <w:rPr>
          <w:sz w:val="20"/>
        </w:rPr>
        <w:t>.2022</w:t>
      </w:r>
      <w:r w:rsidR="00763D55" w:rsidRPr="0046277B">
        <w:rPr>
          <w:sz w:val="20"/>
        </w:rPr>
        <w:t xml:space="preserve">.SPEC </w:t>
      </w:r>
      <w:r w:rsidR="002E4D6B">
        <w:rPr>
          <w:sz w:val="20"/>
        </w:rPr>
        <w:t>Decyzja 7/2022 z dnia 30 czerwca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85158">
        <w:rPr>
          <w:sz w:val="20"/>
        </w:rPr>
        <w:t xml:space="preserve"> „Budowa drog</w:t>
      </w:r>
      <w:r w:rsidR="002E4D6B">
        <w:rPr>
          <w:sz w:val="20"/>
        </w:rPr>
        <w:t>i gminnej od km 0+000 do km 0+550 w miejscowości Krobielice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377C2D">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E557ED">
        <w:rPr>
          <w:sz w:val="20"/>
        </w:rPr>
        <w:t>aficznej w Sandomierzu w dniu 20 czerwca</w:t>
      </w:r>
      <w:r w:rsidR="00B85158">
        <w:rPr>
          <w:sz w:val="20"/>
        </w:rPr>
        <w:t xml:space="preserve"> </w:t>
      </w:r>
      <w:r w:rsidR="00B85158">
        <w:rPr>
          <w:sz w:val="20"/>
        </w:rPr>
        <w:br/>
        <w:t>2022</w:t>
      </w:r>
      <w:r>
        <w:rPr>
          <w:sz w:val="20"/>
        </w:rPr>
        <w:t xml:space="preserve"> roku za nr ewidencyjnym P</w:t>
      </w:r>
      <w:r w:rsidR="00E557ED">
        <w:rPr>
          <w:sz w:val="20"/>
        </w:rPr>
        <w:t>.2609.2022.799</w:t>
      </w:r>
      <w:r w:rsidR="003F1488">
        <w:rPr>
          <w:sz w:val="20"/>
        </w:rPr>
        <w:t>, dział</w:t>
      </w:r>
      <w:r w:rsidR="008D6EA8">
        <w:rPr>
          <w:sz w:val="20"/>
        </w:rPr>
        <w:t xml:space="preserve">ka nr </w:t>
      </w:r>
      <w:r w:rsidR="00377C2D">
        <w:rPr>
          <w:sz w:val="20"/>
        </w:rPr>
        <w:t>148 o powierzchni 0,0500 ha została podzielona na działki 148/1 o powierzchni 0,0012 ha i 148/2 o powierzchni 0,0488 ha, 219 o powierzchni 0,14</w:t>
      </w:r>
      <w:r w:rsidR="0084358E">
        <w:rPr>
          <w:sz w:val="20"/>
        </w:rPr>
        <w:t>00</w:t>
      </w:r>
      <w:r>
        <w:rPr>
          <w:sz w:val="20"/>
        </w:rPr>
        <w:t xml:space="preserve"> ha zos</w:t>
      </w:r>
      <w:r w:rsidR="00A14955">
        <w:rPr>
          <w:sz w:val="20"/>
        </w:rPr>
        <w:t>t</w:t>
      </w:r>
      <w:r w:rsidR="006B3939">
        <w:rPr>
          <w:sz w:val="20"/>
        </w:rPr>
        <w:t xml:space="preserve">ała podzielona </w:t>
      </w:r>
      <w:r w:rsidR="00AB30A4">
        <w:rPr>
          <w:sz w:val="20"/>
        </w:rPr>
        <w:t xml:space="preserve">na </w:t>
      </w:r>
      <w:r w:rsidR="00377C2D">
        <w:rPr>
          <w:sz w:val="20"/>
        </w:rPr>
        <w:t>działki 219</w:t>
      </w:r>
      <w:r w:rsidR="0084358E">
        <w:rPr>
          <w:sz w:val="20"/>
        </w:rPr>
        <w:t>/1</w:t>
      </w:r>
      <w:r w:rsidR="00E33913">
        <w:rPr>
          <w:sz w:val="20"/>
        </w:rPr>
        <w:t xml:space="preserve"> o powierzchni </w:t>
      </w:r>
      <w:r w:rsidR="00377C2D">
        <w:rPr>
          <w:sz w:val="20"/>
        </w:rPr>
        <w:t>0,0036 ha i 219</w:t>
      </w:r>
      <w:r w:rsidR="00E557ED">
        <w:rPr>
          <w:sz w:val="20"/>
        </w:rPr>
        <w:t xml:space="preserve">/2 </w:t>
      </w:r>
      <w:r w:rsidR="00377C2D">
        <w:rPr>
          <w:sz w:val="20"/>
        </w:rPr>
        <w:t>powierzchni 0,1364</w:t>
      </w:r>
      <w:r w:rsidR="005C7F52">
        <w:rPr>
          <w:sz w:val="20"/>
        </w:rPr>
        <w:t xml:space="preserve"> ha</w:t>
      </w:r>
      <w:r w:rsidR="00E557ED">
        <w:rPr>
          <w:sz w:val="20"/>
        </w:rPr>
        <w:t>.</w:t>
      </w:r>
      <w:r w:rsidR="005C7F52">
        <w:rPr>
          <w:sz w:val="20"/>
        </w:rPr>
        <w:t xml:space="preserve"> Now</w:t>
      </w:r>
      <w:r w:rsidR="00377C2D">
        <w:rPr>
          <w:sz w:val="20"/>
        </w:rPr>
        <w:t xml:space="preserve">opowstałe działki </w:t>
      </w:r>
      <w:r w:rsidR="00377C2D">
        <w:rPr>
          <w:sz w:val="20"/>
        </w:rPr>
        <w:br/>
        <w:t>o numerach</w:t>
      </w:r>
      <w:r w:rsidR="000B381A">
        <w:rPr>
          <w:sz w:val="20"/>
        </w:rPr>
        <w:t xml:space="preserve"> </w:t>
      </w:r>
      <w:r w:rsidR="00377C2D">
        <w:rPr>
          <w:sz w:val="20"/>
        </w:rPr>
        <w:t xml:space="preserve"> ewidencyjnych 148/1 i 219</w:t>
      </w:r>
      <w:r w:rsidR="0084358E">
        <w:rPr>
          <w:sz w:val="20"/>
        </w:rPr>
        <w:t>/1</w:t>
      </w:r>
      <w:r w:rsidR="005C7F52">
        <w:rPr>
          <w:sz w:val="20"/>
        </w:rPr>
        <w:t xml:space="preserve"> </w:t>
      </w:r>
      <w:r w:rsidR="00685C6C">
        <w:rPr>
          <w:sz w:val="20"/>
        </w:rPr>
        <w:t xml:space="preserve">o </w:t>
      </w:r>
      <w:r w:rsidR="00377C2D">
        <w:rPr>
          <w:sz w:val="20"/>
        </w:rPr>
        <w:t xml:space="preserve">łącznej </w:t>
      </w:r>
      <w:r w:rsidR="006B5A26">
        <w:rPr>
          <w:sz w:val="20"/>
        </w:rPr>
        <w:t xml:space="preserve">powierzchni </w:t>
      </w:r>
      <w:r w:rsidR="00377C2D">
        <w:rPr>
          <w:sz w:val="20"/>
        </w:rPr>
        <w:t>0,0048</w:t>
      </w:r>
      <w:r w:rsidR="005C7F52">
        <w:rPr>
          <w:sz w:val="20"/>
        </w:rPr>
        <w:t xml:space="preserve">  ha została zajęta</w:t>
      </w:r>
      <w:r>
        <w:rPr>
          <w:sz w:val="20"/>
        </w:rPr>
        <w:t xml:space="preserve"> pod rozbudowę drogi gminnej. Decyzja Starosty Sandomierskiego </w:t>
      </w:r>
      <w:r w:rsidR="00E557ED">
        <w:rPr>
          <w:sz w:val="20"/>
        </w:rPr>
        <w:t>Nr AB.6740.3.2022.SPEC  z dnia 30</w:t>
      </w:r>
      <w:r w:rsidR="009D59BA">
        <w:rPr>
          <w:sz w:val="20"/>
        </w:rPr>
        <w:t xml:space="preserve"> czerwca</w:t>
      </w:r>
      <w:r w:rsidR="00CD3B20">
        <w:rPr>
          <w:sz w:val="20"/>
        </w:rPr>
        <w:t xml:space="preserve"> 2022 </w:t>
      </w:r>
      <w:r>
        <w:rPr>
          <w:sz w:val="20"/>
        </w:rPr>
        <w:t xml:space="preserve"> roku  </w:t>
      </w:r>
      <w:r w:rsidR="009D59BA">
        <w:rPr>
          <w:sz w:val="20"/>
        </w:rPr>
        <w:t>Decyzja 7</w:t>
      </w:r>
      <w:r w:rsidR="00CD3B20">
        <w:rPr>
          <w:sz w:val="20"/>
        </w:rPr>
        <w:t>/2022</w:t>
      </w:r>
      <w:r>
        <w:rPr>
          <w:sz w:val="20"/>
        </w:rPr>
        <w:t xml:space="preserve"> stosownie do art. 12 ust. 4 pkt 2 ustawy z dnia 10 kwietnia 2003 r. </w:t>
      </w:r>
      <w:r>
        <w:rPr>
          <w:i/>
          <w:sz w:val="20"/>
        </w:rPr>
        <w:t>o szczególnych zasadach przygotowania i realizacji inwestycji</w:t>
      </w:r>
      <w:r w:rsidR="00377C2D">
        <w:rPr>
          <w:i/>
          <w:sz w:val="20"/>
        </w:rPr>
        <w:t xml:space="preserve"> </w:t>
      </w:r>
      <w:r>
        <w:rPr>
          <w:i/>
          <w:sz w:val="20"/>
        </w:rPr>
        <w:t>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377C2D">
        <w:rPr>
          <w:sz w:val="20"/>
        </w:rPr>
        <w:t>a działki nr</w:t>
      </w:r>
      <w:r w:rsidR="008D6EA8">
        <w:rPr>
          <w:sz w:val="20"/>
        </w:rPr>
        <w:t xml:space="preserve"> </w:t>
      </w:r>
      <w:proofErr w:type="spellStart"/>
      <w:r w:rsidR="008D6EA8">
        <w:rPr>
          <w:sz w:val="20"/>
        </w:rPr>
        <w:t>nr</w:t>
      </w:r>
      <w:proofErr w:type="spellEnd"/>
      <w:r w:rsidR="008D6EA8">
        <w:rPr>
          <w:sz w:val="20"/>
        </w:rPr>
        <w:t xml:space="preserve"> </w:t>
      </w:r>
      <w:r w:rsidR="00377C2D">
        <w:rPr>
          <w:sz w:val="20"/>
        </w:rPr>
        <w:t>148/1 i 219</w:t>
      </w:r>
      <w:r w:rsidR="0084358E">
        <w:rPr>
          <w:sz w:val="20"/>
        </w:rPr>
        <w:t>/1</w:t>
      </w:r>
      <w:r w:rsidR="009D59BA">
        <w:rPr>
          <w:sz w:val="20"/>
        </w:rPr>
        <w:t xml:space="preserve"> stały</w:t>
      </w:r>
      <w:r>
        <w:rPr>
          <w:sz w:val="20"/>
        </w:rPr>
        <w:t xml:space="preserve"> się z mocy prawa własnością Gminy Klimontów.</w:t>
      </w:r>
    </w:p>
    <w:p w:rsidR="006B3939" w:rsidRDefault="006B3939" w:rsidP="00377C2D">
      <w:pPr>
        <w:pStyle w:val="Tekstpodstawowywcity"/>
        <w:ind w:firstLine="0"/>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cyzja o zezwoleniu na 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lastRenderedPageBreak/>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F3469E" w:rsidP="00CA6CFB">
      <w:pPr>
        <w:pStyle w:val="Tekstpodstawowywcity"/>
        <w:ind w:firstLine="0"/>
        <w:rPr>
          <w:sz w:val="20"/>
        </w:rPr>
      </w:pPr>
      <w:r>
        <w:rPr>
          <w:sz w:val="20"/>
        </w:rPr>
        <w:t>W</w:t>
      </w:r>
      <w:r w:rsidR="00CA6CFB">
        <w:rPr>
          <w:sz w:val="20"/>
        </w:rPr>
        <w:t xml:space="preserve"> dniu wydania powyższej decyzji nieruchomość </w:t>
      </w:r>
      <w:r w:rsidR="005F08A9">
        <w:rPr>
          <w:sz w:val="20"/>
        </w:rPr>
        <w:t xml:space="preserve">nie posiadała </w:t>
      </w:r>
      <w:r w:rsidR="00CA6CFB">
        <w:rPr>
          <w:sz w:val="20"/>
        </w:rPr>
        <w:t>uregul</w:t>
      </w:r>
      <w:r w:rsidR="005F08A9">
        <w:rPr>
          <w:sz w:val="20"/>
        </w:rPr>
        <w:t>owanego</w:t>
      </w:r>
      <w:r w:rsidR="00CA6CFB">
        <w:rPr>
          <w:sz w:val="20"/>
        </w:rPr>
        <w:t xml:space="preserve"> stan</w:t>
      </w:r>
      <w:r w:rsidR="005F08A9">
        <w:rPr>
          <w:sz w:val="20"/>
        </w:rPr>
        <w:t>u prawnego</w:t>
      </w:r>
      <w:r w:rsidR="00CA6CFB">
        <w:rPr>
          <w:sz w:val="20"/>
        </w:rPr>
        <w:t xml:space="preserve">. </w:t>
      </w:r>
    </w:p>
    <w:p w:rsidR="008F7F7A" w:rsidRDefault="008F7F7A" w:rsidP="008F7F7A">
      <w:pPr>
        <w:pStyle w:val="Tekstpodstawowywcity"/>
        <w:ind w:firstLine="0"/>
        <w:jc w:val="left"/>
        <w:rPr>
          <w:sz w:val="20"/>
        </w:rPr>
      </w:pPr>
    </w:p>
    <w:p w:rsidR="00CA6CFB" w:rsidRDefault="009D59BA" w:rsidP="00FD1F46">
      <w:pPr>
        <w:pStyle w:val="Tekstpodstawowywcity"/>
        <w:ind w:firstLine="0"/>
        <w:rPr>
          <w:sz w:val="20"/>
        </w:rPr>
      </w:pPr>
      <w:r>
        <w:rPr>
          <w:sz w:val="20"/>
        </w:rPr>
        <w:t>Ogłoszeniem z dnia 1</w:t>
      </w:r>
      <w:r w:rsidR="00CA6CFB">
        <w:rPr>
          <w:sz w:val="20"/>
        </w:rPr>
        <w:t xml:space="preserve"> </w:t>
      </w:r>
      <w:r>
        <w:rPr>
          <w:sz w:val="20"/>
        </w:rPr>
        <w:t>w</w:t>
      </w:r>
      <w:r w:rsidR="00377C2D">
        <w:rPr>
          <w:sz w:val="20"/>
        </w:rPr>
        <w:t>rześnia 2022 r. znak: GN.683.8.12</w:t>
      </w:r>
      <w:r>
        <w:rPr>
          <w:sz w:val="20"/>
        </w:rPr>
        <w:t>.2022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FD1F46">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9D59BA">
        <w:rPr>
          <w:sz w:val="20"/>
        </w:rPr>
        <w:t>2023 r. znak: GN.683.8</w:t>
      </w:r>
      <w:r w:rsidR="00377C2D">
        <w:rPr>
          <w:sz w:val="20"/>
        </w:rPr>
        <w:t>.12</w:t>
      </w:r>
      <w:r w:rsidR="009D59BA">
        <w:rPr>
          <w:sz w:val="20"/>
        </w:rPr>
        <w:t>.2022</w:t>
      </w:r>
      <w:r w:rsidRPr="0046277B">
        <w:rPr>
          <w:sz w:val="20"/>
        </w:rPr>
        <w:t xml:space="preserve"> powołał </w:t>
      </w:r>
      <w:r w:rsidR="00FD1F46">
        <w:rPr>
          <w:sz w:val="20"/>
        </w:rPr>
        <w:t>r</w:t>
      </w:r>
      <w:r w:rsidRPr="0046277B">
        <w:rPr>
          <w:sz w:val="20"/>
        </w:rPr>
        <w:t>zeczoznawcę</w:t>
      </w:r>
      <w:r w:rsidR="00B026AA">
        <w:rPr>
          <w:sz w:val="20"/>
        </w:rPr>
        <w:t xml:space="preserve"> ma</w:t>
      </w:r>
      <w:r w:rsidR="009D59BA">
        <w:rPr>
          <w:sz w:val="20"/>
        </w:rPr>
        <w:t>jątkowego Panią Annę Banasiak</w:t>
      </w:r>
      <w:r w:rsidRPr="0046277B">
        <w:rPr>
          <w:sz w:val="20"/>
        </w:rPr>
        <w:t xml:space="preserve"> do sporządzenia operatu szacunkowego określająceg</w:t>
      </w:r>
      <w:r w:rsidR="00377C2D">
        <w:rPr>
          <w:sz w:val="20"/>
        </w:rPr>
        <w:t>o wartość działek nr</w:t>
      </w:r>
      <w:r w:rsidR="00B026AA">
        <w:rPr>
          <w:sz w:val="20"/>
        </w:rPr>
        <w:t xml:space="preserve"> </w:t>
      </w:r>
      <w:proofErr w:type="spellStart"/>
      <w:r w:rsidR="00B026AA">
        <w:rPr>
          <w:sz w:val="20"/>
        </w:rPr>
        <w:t>nr</w:t>
      </w:r>
      <w:proofErr w:type="spellEnd"/>
      <w:r w:rsidR="00B026AA">
        <w:rPr>
          <w:sz w:val="20"/>
        </w:rPr>
        <w:t xml:space="preserve"> </w:t>
      </w:r>
      <w:r w:rsidR="00377C2D">
        <w:rPr>
          <w:sz w:val="20"/>
        </w:rPr>
        <w:t>148/1 i 219</w:t>
      </w:r>
      <w:r w:rsidR="005D653C">
        <w:rPr>
          <w:sz w:val="20"/>
        </w:rPr>
        <w:t>/1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9D59BA">
      <w:pPr>
        <w:pStyle w:val="Tekstpodstawowywcity"/>
        <w:ind w:firstLine="0"/>
        <w:rPr>
          <w:sz w:val="20"/>
        </w:rPr>
      </w:pPr>
      <w:r>
        <w:rPr>
          <w:sz w:val="20"/>
        </w:rPr>
        <w:t xml:space="preserve">W dniu </w:t>
      </w:r>
      <w:r w:rsidR="009D59BA">
        <w:rPr>
          <w:sz w:val="20"/>
        </w:rPr>
        <w:t>23</w:t>
      </w:r>
      <w:r w:rsidR="00FD1F46">
        <w:rPr>
          <w:sz w:val="20"/>
        </w:rPr>
        <w:t xml:space="preserve"> stycznia 2024</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6740.3</w:t>
      </w:r>
      <w:r w:rsidR="00736F2A">
        <w:rPr>
          <w:sz w:val="20"/>
        </w:rPr>
        <w:t>.2022</w:t>
      </w:r>
      <w:r w:rsidR="00C306FA" w:rsidRPr="0046277B">
        <w:rPr>
          <w:sz w:val="20"/>
        </w:rPr>
        <w:t xml:space="preserve">.SPEC  z dnia </w:t>
      </w:r>
      <w:r w:rsidR="009D59BA">
        <w:rPr>
          <w:sz w:val="20"/>
        </w:rPr>
        <w:t>30 czerwca</w:t>
      </w:r>
      <w:r w:rsidR="00736F2A">
        <w:rPr>
          <w:sz w:val="20"/>
        </w:rPr>
        <w:t xml:space="preserve"> 2022</w:t>
      </w:r>
      <w:r w:rsidR="00C306FA" w:rsidRPr="0046277B">
        <w:rPr>
          <w:sz w:val="20"/>
        </w:rPr>
        <w:t xml:space="preserve"> roku  </w:t>
      </w:r>
      <w:r w:rsidR="009D59BA">
        <w:rPr>
          <w:sz w:val="20"/>
        </w:rPr>
        <w:t>Decyzja 7</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9D59BA">
        <w:rPr>
          <w:sz w:val="20"/>
        </w:rPr>
        <w:t>9 lutego 2024 r. pismem znak: PG.6822.14</w:t>
      </w:r>
      <w:r w:rsidR="00FD1F46">
        <w:rPr>
          <w:sz w:val="20"/>
        </w:rPr>
        <w:t>.2023</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377C2D">
        <w:rPr>
          <w:sz w:val="20"/>
        </w:rPr>
        <w:t xml:space="preserve">iałkami nr </w:t>
      </w:r>
      <w:r w:rsidR="009D59BA">
        <w:rPr>
          <w:sz w:val="20"/>
        </w:rPr>
        <w:t xml:space="preserve"> nr</w:t>
      </w:r>
      <w:r w:rsidR="00377C2D">
        <w:rPr>
          <w:sz w:val="20"/>
        </w:rPr>
        <w:t>148/1 i 219</w:t>
      </w:r>
      <w:r w:rsidR="005D653C">
        <w:rPr>
          <w:sz w:val="20"/>
        </w:rPr>
        <w:t>/1</w:t>
      </w:r>
      <w:r w:rsidR="00E177B8">
        <w:rPr>
          <w:sz w:val="20"/>
        </w:rPr>
        <w:t xml:space="preserve"> </w:t>
      </w:r>
      <w:r w:rsidR="00C306FA">
        <w:rPr>
          <w:sz w:val="20"/>
        </w:rPr>
        <w:t xml:space="preserve"> nie została wydana na podstawie art. 18 ust. 1 e pkt 3 ustawy </w:t>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1E7893">
      <w:pPr>
        <w:pStyle w:val="Tekstpodstawowywcity"/>
        <w:ind w:firstLine="0"/>
        <w:rPr>
          <w:sz w:val="20"/>
        </w:rPr>
      </w:pPr>
      <w:r>
        <w:rPr>
          <w:sz w:val="20"/>
        </w:rPr>
        <w:t xml:space="preserve">Zawiadomieniem  z dnia </w:t>
      </w:r>
      <w:r w:rsidR="00FD1F46">
        <w:rPr>
          <w:sz w:val="20"/>
        </w:rPr>
        <w:t>14 listopada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prawnym położoną we wsi Krobielice</w:t>
      </w:r>
      <w:r w:rsidR="00FD1F46">
        <w:rPr>
          <w:sz w:val="20"/>
        </w:rPr>
        <w:t xml:space="preserve"> w gminie Klimontów, oznaczoną</w:t>
      </w:r>
      <w:r>
        <w:rPr>
          <w:sz w:val="20"/>
        </w:rPr>
        <w:t xml:space="preserve"> w ewide</w:t>
      </w:r>
      <w:r w:rsidR="00FD1F46">
        <w:rPr>
          <w:sz w:val="20"/>
        </w:rPr>
        <w:t>nc</w:t>
      </w:r>
      <w:r w:rsidR="009D59BA">
        <w:rPr>
          <w:sz w:val="20"/>
        </w:rPr>
        <w:t>ji gruntów numer</w:t>
      </w:r>
      <w:r w:rsidR="001E7893">
        <w:rPr>
          <w:sz w:val="20"/>
        </w:rPr>
        <w:t xml:space="preserve">ami działek </w:t>
      </w:r>
      <w:r w:rsidR="00377C2D">
        <w:rPr>
          <w:sz w:val="20"/>
        </w:rPr>
        <w:t>148/1 i 219</w:t>
      </w:r>
      <w:r w:rsidR="001E7893">
        <w:rPr>
          <w:sz w:val="20"/>
        </w:rPr>
        <w:t>/1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5D653C">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9D59BA">
        <w:rPr>
          <w:sz w:val="20"/>
        </w:rPr>
        <w:t>ie wyceny z dnia 10</w:t>
      </w:r>
      <w:r w:rsidR="00E053F9">
        <w:rPr>
          <w:sz w:val="20"/>
        </w:rPr>
        <w:t xml:space="preserve"> grudnia 2023</w:t>
      </w:r>
      <w:r w:rsidR="009D4E29">
        <w:rPr>
          <w:sz w:val="20"/>
        </w:rPr>
        <w:t xml:space="preserve"> r. </w:t>
      </w:r>
      <w:r w:rsidR="00474B5A">
        <w:rPr>
          <w:sz w:val="20"/>
        </w:rPr>
        <w:t>za dział</w:t>
      </w:r>
      <w:r w:rsidR="00057F8D">
        <w:rPr>
          <w:sz w:val="20"/>
        </w:rPr>
        <w:t>k</w:t>
      </w:r>
      <w:r w:rsidR="001E7893">
        <w:rPr>
          <w:sz w:val="20"/>
        </w:rPr>
        <w:t xml:space="preserve">i nr </w:t>
      </w:r>
      <w:r w:rsidR="00377C2D">
        <w:rPr>
          <w:sz w:val="20"/>
        </w:rPr>
        <w:t>148/1 i 219</w:t>
      </w:r>
      <w:r w:rsidR="005D653C">
        <w:rPr>
          <w:sz w:val="20"/>
        </w:rPr>
        <w:t>/1</w:t>
      </w:r>
      <w:r w:rsidR="004333E6">
        <w:rPr>
          <w:sz w:val="20"/>
        </w:rPr>
        <w:t xml:space="preserve"> </w:t>
      </w:r>
      <w:r w:rsidR="00377C2D">
        <w:rPr>
          <w:sz w:val="20"/>
        </w:rPr>
        <w:t xml:space="preserve"> łącznej</w:t>
      </w:r>
      <w:r w:rsidR="005D653C">
        <w:rPr>
          <w:sz w:val="20"/>
        </w:rPr>
        <w:t xml:space="preserve"> </w:t>
      </w:r>
      <w:r w:rsidR="006111D5">
        <w:rPr>
          <w:sz w:val="20"/>
        </w:rPr>
        <w:t>powierzchni</w:t>
      </w:r>
      <w:r w:rsidR="009D59BA">
        <w:rPr>
          <w:sz w:val="20"/>
        </w:rPr>
        <w:t xml:space="preserve"> </w:t>
      </w:r>
      <w:r w:rsidR="00A14955">
        <w:rPr>
          <w:sz w:val="20"/>
        </w:rPr>
        <w:t>0,</w:t>
      </w:r>
      <w:r w:rsidR="00377C2D">
        <w:rPr>
          <w:sz w:val="20"/>
        </w:rPr>
        <w:t>0048</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377C2D">
        <w:rPr>
          <w:sz w:val="20"/>
        </w:rPr>
        <w:t>na kwotę 1.275</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Polega to na 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w:t>
      </w:r>
      <w:r w:rsidR="002013A5" w:rsidRPr="0046277B">
        <w:rPr>
          <w:sz w:val="20"/>
        </w:rPr>
        <w:lastRenderedPageBreak/>
        <w:t xml:space="preserve">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E053F9">
        <w:rPr>
          <w:sz w:val="20"/>
        </w:rPr>
        <w:t>erskiego Nr AB.6740.7</w:t>
      </w:r>
      <w:r w:rsidR="00090382">
        <w:rPr>
          <w:sz w:val="20"/>
        </w:rPr>
        <w:t>.2022</w:t>
      </w:r>
      <w:r w:rsidR="00F83289">
        <w:rPr>
          <w:sz w:val="20"/>
        </w:rPr>
        <w:t xml:space="preserve">.SPEC z </w:t>
      </w:r>
      <w:r w:rsidR="00E053F9">
        <w:rPr>
          <w:sz w:val="20"/>
        </w:rPr>
        <w:t>dnia 8 grudnia</w:t>
      </w:r>
      <w:r w:rsidR="00090382">
        <w:rPr>
          <w:sz w:val="20"/>
        </w:rPr>
        <w:t xml:space="preserve"> 2022</w:t>
      </w:r>
      <w:r w:rsidR="008B6FB0">
        <w:rPr>
          <w:sz w:val="20"/>
        </w:rPr>
        <w:t xml:space="preserve"> r</w:t>
      </w:r>
      <w:r w:rsidR="00E053F9">
        <w:rPr>
          <w:sz w:val="20"/>
        </w:rPr>
        <w:t>oku Decyzja 10</w:t>
      </w:r>
      <w:r w:rsidR="00090382">
        <w:rPr>
          <w:sz w:val="20"/>
        </w:rPr>
        <w:t>/2022.</w:t>
      </w:r>
    </w:p>
    <w:p w:rsidR="004D35F6" w:rsidRDefault="004D35F6" w:rsidP="0096792B">
      <w:pPr>
        <w:pStyle w:val="Tekstpodstawowywcity"/>
        <w:ind w:firstLine="0"/>
        <w:rPr>
          <w:sz w:val="20"/>
        </w:rPr>
      </w:pPr>
    </w:p>
    <w:p w:rsidR="005D653C" w:rsidRPr="0046277B" w:rsidRDefault="005D653C"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5D653C" w:rsidRPr="0046277B" w:rsidRDefault="005D653C"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D77B0" w:rsidRDefault="001D77B0" w:rsidP="00920FA1">
      <w:pPr>
        <w:spacing w:line="276" w:lineRule="auto"/>
        <w:rPr>
          <w:rFonts w:eastAsiaTheme="minorHAnsi"/>
          <w:b/>
          <w:u w:val="single"/>
          <w:lang w:eastAsia="en-US"/>
        </w:rPr>
      </w:pPr>
    </w:p>
    <w:p w:rsidR="005D653C" w:rsidRDefault="005D653C" w:rsidP="0096792B"/>
    <w:p w:rsidR="001E7893" w:rsidRDefault="001E7893" w:rsidP="0096792B"/>
    <w:p w:rsidR="005D653C" w:rsidRDefault="005D653C" w:rsidP="0096792B"/>
    <w:p w:rsidR="005D653C" w:rsidRDefault="005D653C" w:rsidP="0096792B"/>
    <w:p w:rsidR="005D653C" w:rsidRDefault="005D653C" w:rsidP="0096792B"/>
    <w:p w:rsidR="005D653C" w:rsidRDefault="005D653C"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B2" w:rsidRDefault="00BB07B2" w:rsidP="00F338BA">
      <w:r>
        <w:separator/>
      </w:r>
    </w:p>
  </w:endnote>
  <w:endnote w:type="continuationSeparator" w:id="0">
    <w:p w:rsidR="00BB07B2" w:rsidRDefault="00BB07B2"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A121D2">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B2" w:rsidRDefault="00BB07B2" w:rsidP="00F338BA">
      <w:r>
        <w:separator/>
      </w:r>
    </w:p>
  </w:footnote>
  <w:footnote w:type="continuationSeparator" w:id="0">
    <w:p w:rsidR="00BB07B2" w:rsidRDefault="00BB07B2"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A4A94"/>
    <w:rsid w:val="001C4B8B"/>
    <w:rsid w:val="001C572B"/>
    <w:rsid w:val="001D1C57"/>
    <w:rsid w:val="001D3B14"/>
    <w:rsid w:val="001D77B0"/>
    <w:rsid w:val="001E5445"/>
    <w:rsid w:val="001E7893"/>
    <w:rsid w:val="001F07B5"/>
    <w:rsid w:val="001F3EAB"/>
    <w:rsid w:val="001F5943"/>
    <w:rsid w:val="002013A5"/>
    <w:rsid w:val="00202F96"/>
    <w:rsid w:val="002148B9"/>
    <w:rsid w:val="00222578"/>
    <w:rsid w:val="00242811"/>
    <w:rsid w:val="002459E3"/>
    <w:rsid w:val="00247931"/>
    <w:rsid w:val="0025015E"/>
    <w:rsid w:val="002702D6"/>
    <w:rsid w:val="0027438D"/>
    <w:rsid w:val="00274F2B"/>
    <w:rsid w:val="002752F9"/>
    <w:rsid w:val="00291132"/>
    <w:rsid w:val="002A384B"/>
    <w:rsid w:val="002B6A6A"/>
    <w:rsid w:val="002C4AF4"/>
    <w:rsid w:val="002D5057"/>
    <w:rsid w:val="002E284F"/>
    <w:rsid w:val="002E4D6B"/>
    <w:rsid w:val="002E6BCC"/>
    <w:rsid w:val="002E6C21"/>
    <w:rsid w:val="002F0979"/>
    <w:rsid w:val="002F37C7"/>
    <w:rsid w:val="00323FDC"/>
    <w:rsid w:val="003433A9"/>
    <w:rsid w:val="003632FB"/>
    <w:rsid w:val="00375C93"/>
    <w:rsid w:val="00377542"/>
    <w:rsid w:val="00377C2D"/>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1395"/>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D653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358E"/>
    <w:rsid w:val="00847C7C"/>
    <w:rsid w:val="00853D46"/>
    <w:rsid w:val="008541EE"/>
    <w:rsid w:val="008554AD"/>
    <w:rsid w:val="008558D8"/>
    <w:rsid w:val="00872022"/>
    <w:rsid w:val="0088535A"/>
    <w:rsid w:val="00896B36"/>
    <w:rsid w:val="008B6CC9"/>
    <w:rsid w:val="008B6FB0"/>
    <w:rsid w:val="008C4D2F"/>
    <w:rsid w:val="008D25FD"/>
    <w:rsid w:val="008D6EA8"/>
    <w:rsid w:val="008E0905"/>
    <w:rsid w:val="008E09E1"/>
    <w:rsid w:val="008F2D7B"/>
    <w:rsid w:val="008F3495"/>
    <w:rsid w:val="008F6C67"/>
    <w:rsid w:val="008F6E3F"/>
    <w:rsid w:val="008F7F7A"/>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A64BF"/>
    <w:rsid w:val="009B28F3"/>
    <w:rsid w:val="009D4542"/>
    <w:rsid w:val="009D4E29"/>
    <w:rsid w:val="009D59BA"/>
    <w:rsid w:val="009E3DA1"/>
    <w:rsid w:val="009E7B26"/>
    <w:rsid w:val="009F6CB9"/>
    <w:rsid w:val="00A06618"/>
    <w:rsid w:val="00A10748"/>
    <w:rsid w:val="00A121D2"/>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AF1391"/>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B07B2"/>
    <w:rsid w:val="00BC3AE3"/>
    <w:rsid w:val="00BD4D30"/>
    <w:rsid w:val="00BE22D5"/>
    <w:rsid w:val="00BF29B3"/>
    <w:rsid w:val="00BF363E"/>
    <w:rsid w:val="00C306FA"/>
    <w:rsid w:val="00C337CC"/>
    <w:rsid w:val="00C37609"/>
    <w:rsid w:val="00C40A06"/>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D6613"/>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B7D88"/>
    <w:rsid w:val="00EC47E9"/>
    <w:rsid w:val="00F15284"/>
    <w:rsid w:val="00F23D1A"/>
    <w:rsid w:val="00F30425"/>
    <w:rsid w:val="00F325FB"/>
    <w:rsid w:val="00F338BA"/>
    <w:rsid w:val="00F3469E"/>
    <w:rsid w:val="00F3649E"/>
    <w:rsid w:val="00F42B6A"/>
    <w:rsid w:val="00F4315B"/>
    <w:rsid w:val="00F51F7D"/>
    <w:rsid w:val="00F52683"/>
    <w:rsid w:val="00F57790"/>
    <w:rsid w:val="00F6016D"/>
    <w:rsid w:val="00F643BA"/>
    <w:rsid w:val="00F70113"/>
    <w:rsid w:val="00F7049F"/>
    <w:rsid w:val="00F70BC3"/>
    <w:rsid w:val="00F70D25"/>
    <w:rsid w:val="00F73EB5"/>
    <w:rsid w:val="00F770EB"/>
    <w:rsid w:val="00F80B2D"/>
    <w:rsid w:val="00F83289"/>
    <w:rsid w:val="00FA4BD0"/>
    <w:rsid w:val="00FB77E5"/>
    <w:rsid w:val="00FC55A6"/>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2140-C726-4B36-A3DF-854FE127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11790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2025-01-23T08:08:00Z</dcterms:created>
  <dcterms:modified xsi:type="dcterms:W3CDTF">2025-01-23T08:08:00Z</dcterms:modified>
</cp:coreProperties>
</file>