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79E5A2D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1057D8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04AA14C0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B7EF4" w:rsidRPr="00CB7EF4">
        <w:rPr>
          <w:b/>
          <w:sz w:val="22"/>
          <w:szCs w:val="22"/>
        </w:rPr>
        <w:t>„</w:t>
      </w:r>
      <w:r w:rsidR="00CB7EF4" w:rsidRPr="00CB7EF4">
        <w:rPr>
          <w:b/>
          <w:i/>
          <w:sz w:val="22"/>
          <w:szCs w:val="22"/>
        </w:rPr>
        <w:t>Budowa budynku mieszkalnego wielorodzinnego przy ul. Jana Pawła II w Grójcu</w:t>
      </w:r>
      <w:r w:rsidRPr="009555E2">
        <w:rPr>
          <w:b/>
          <w:i/>
          <w:sz w:val="22"/>
          <w:szCs w:val="22"/>
          <w:lang w:eastAsia="pl-PL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6F56173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CB7EF4" w:rsidRPr="00CB7EF4">
        <w:rPr>
          <w:b/>
          <w:sz w:val="22"/>
          <w:szCs w:val="22"/>
        </w:rPr>
        <w:t>„</w:t>
      </w:r>
      <w:r w:rsidR="00CB7EF4" w:rsidRPr="00CB7EF4">
        <w:rPr>
          <w:b/>
          <w:i/>
          <w:sz w:val="22"/>
          <w:szCs w:val="22"/>
        </w:rPr>
        <w:t>Budowa budynku mieszkalnego wielorodzinnego przy ul. Jana Pawła II w Grójcu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CB7EF4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54093471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CB7EF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32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CB7EF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9B212AC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51451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82115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CB7EF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151451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271.32.2024.KOI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13</cp:revision>
  <dcterms:created xsi:type="dcterms:W3CDTF">2022-10-20T12:47:00Z</dcterms:created>
  <dcterms:modified xsi:type="dcterms:W3CDTF">2024-08-23T14:12:00Z</dcterms:modified>
</cp:coreProperties>
</file>