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711335">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Umowa Wzór</w:t>
      </w:r>
    </w:p>
    <w:p w14:paraId="7B59DECC" w14:textId="2D23C4F4" w:rsidR="00C15667" w:rsidRPr="001A26D4" w:rsidRDefault="00711335">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F400E5">
        <w:rPr>
          <w:rFonts w:ascii="Cambria" w:hAnsi="Cambria" w:cs="Arial"/>
          <w:b/>
          <w:bCs/>
        </w:rPr>
        <w:t>4</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711335">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711335">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711335">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711335">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711335">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711335">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14:paraId="47AC1430" w14:textId="3DEC0A38" w:rsidR="00C15667" w:rsidRPr="001A26D4" w:rsidRDefault="00711335">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711335">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711335">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711335">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711335">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14:paraId="1BC4ED5A" w14:textId="751660A8" w:rsidR="00C15667" w:rsidRPr="001A26D4" w:rsidRDefault="00711335">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14:paraId="205C737E" w14:textId="77777777" w:rsidR="001A26D4" w:rsidRDefault="00711335">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14:paraId="6CD250F6" w14:textId="32AC8FA8" w:rsidR="00C15667" w:rsidRPr="001A26D4" w:rsidRDefault="00711335">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08162AC6" w:rsidR="00C15667" w:rsidRPr="001A26D4" w:rsidRDefault="00711335">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BF74C1">
        <w:rPr>
          <w:rFonts w:ascii="Cambria" w:hAnsi="Cambria" w:cs="Arial"/>
        </w:rPr>
        <w:t>3</w:t>
      </w:r>
      <w:r w:rsidRPr="001A26D4">
        <w:rPr>
          <w:rFonts w:ascii="Cambria" w:hAnsi="Cambria" w:cs="Arial"/>
        </w:rPr>
        <w:t xml:space="preserve"> r., poz. </w:t>
      </w:r>
      <w:r w:rsidR="001A26D4" w:rsidRPr="001A26D4">
        <w:rPr>
          <w:rFonts w:ascii="Cambria" w:hAnsi="Cambria" w:cs="Arial"/>
        </w:rPr>
        <w:t>1</w:t>
      </w:r>
      <w:r w:rsidR="00BF74C1">
        <w:rPr>
          <w:rFonts w:ascii="Cambria" w:hAnsi="Cambria" w:cs="Arial"/>
        </w:rPr>
        <w:t>605</w:t>
      </w:r>
      <w:r w:rsidRPr="001A26D4">
        <w:rPr>
          <w:rFonts w:ascii="Cambria" w:hAnsi="Cambria" w:cs="Arial"/>
        </w:rPr>
        <w:t>)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Przedmiot umowy</w:t>
      </w:r>
    </w:p>
    <w:p w14:paraId="495E8C4A" w14:textId="0BF17A92"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00B10BCC">
        <w:rPr>
          <w:rFonts w:ascii="Cambria" w:hAnsi="Cambria" w:cs="Arial"/>
          <w:b/>
          <w:bCs/>
          <w:i/>
          <w:iCs/>
        </w:rPr>
        <w:t xml:space="preserve"> – etap 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711335">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728F3FAA" w14:textId="77777777" w:rsidR="00B10BCC" w:rsidRPr="00B10BCC" w:rsidRDefault="00B10BCC" w:rsidP="00B10BC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711335">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61AEB920"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w:t>
      </w:r>
      <w:r w:rsidR="00F400E5">
        <w:rPr>
          <w:rFonts w:ascii="Cambria" w:hAnsi="Cambria" w:cs="Arial"/>
        </w:rPr>
        <w:t>3 miesiące od dnia podpisania umowy</w:t>
      </w:r>
      <w:r w:rsidR="00220899">
        <w:rPr>
          <w:rFonts w:ascii="Cambria" w:hAnsi="Cambria" w:cs="Arial"/>
        </w:rPr>
        <w:t>.</w:t>
      </w:r>
    </w:p>
    <w:p w14:paraId="62247730"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w:t>
      </w:r>
      <w:r w:rsidRPr="001A26D4">
        <w:rPr>
          <w:rFonts w:ascii="Cambria" w:hAnsi="Cambria" w:cs="Arial"/>
        </w:rPr>
        <w:lastRenderedPageBreak/>
        <w:t xml:space="preserve">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w:t>
      </w:r>
      <w:r w:rsidRPr="001A26D4">
        <w:rPr>
          <w:rFonts w:ascii="Cambria" w:hAnsi="Cambria" w:cs="Arial"/>
        </w:rPr>
        <w:lastRenderedPageBreak/>
        <w:t xml:space="preserve">dotyczące instalacji przedmiotu dostawy na co najmniej 7 dni przed terminem jej wprowadzenia; </w:t>
      </w:r>
    </w:p>
    <w:p w14:paraId="1D5771A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Wprowadzenie zatwierdzonej organizacji ruchu zgodnie z wytycznymi w wydanych przez odpowiednie organy decyzjach; </w:t>
      </w:r>
    </w:p>
    <w:p w14:paraId="3EAF67F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3CF71EAD"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w:t>
      </w:r>
      <w:r w:rsidRPr="00B10BCC">
        <w:rPr>
          <w:rFonts w:ascii="Cambria" w:hAnsi="Cambria" w:cs="Arial"/>
        </w:rPr>
        <w:t xml:space="preserve">ubezpieczeniowe na łączną sumę ubezpieczeniową minimum </w:t>
      </w:r>
      <w:r w:rsidR="00B10BCC" w:rsidRPr="00B10BCC">
        <w:rPr>
          <w:rFonts w:ascii="Cambria" w:hAnsi="Cambria" w:cs="Arial"/>
        </w:rPr>
        <w:t>2</w:t>
      </w:r>
      <w:r w:rsidRPr="00B10BCC">
        <w:rPr>
          <w:rFonts w:ascii="Cambria" w:hAnsi="Cambria" w:cs="Arial"/>
        </w:rPr>
        <w:t>00 000,00 zł. Zamawiający zam</w:t>
      </w:r>
      <w:r w:rsidRPr="001A26D4">
        <w:rPr>
          <w:rFonts w:ascii="Cambria" w:hAnsi="Cambria" w:cs="Arial"/>
        </w:rPr>
        <w:t xml:space="preserve">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sidR="00B10BCC">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w:t>
      </w:r>
      <w:r w:rsidRPr="001A26D4">
        <w:rPr>
          <w:rFonts w:ascii="Cambria" w:hAnsi="Cambria" w:cs="Arial"/>
        </w:rPr>
        <w:lastRenderedPageBreak/>
        <w:t xml:space="preserve">instalacji oświetlenia drogowego” regulującego warunki współpracy i odpłatności za świadczone usługi, oraz przedłożyć porozumienie Zamawiającemu; </w:t>
      </w:r>
    </w:p>
    <w:p w14:paraId="5EAEFE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Wykonawca skieruje do realizacji przedmiotowej umowy osoby wskazane w wykazie osób złożonym na etapie prowadzonego postępowania, tj.: </w:t>
      </w:r>
    </w:p>
    <w:p w14:paraId="7A57AE18"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w:t>
      </w:r>
      <w:r w:rsidRPr="001A26D4">
        <w:rPr>
          <w:rFonts w:ascii="Cambria" w:hAnsi="Cambria" w:cs="Arial"/>
        </w:rPr>
        <w:lastRenderedPageBreak/>
        <w:t>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711335">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711335">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lastRenderedPageBreak/>
        <w:t>Odbiory częściowe prac będą dokonywane przez inspektora nadzoru oraz upoważnionego przedstawiciela bądź przedstawicieli Zamawiającego. Przedmiotem odbiorów częściowych będą elementy przedmiotu umowy wyszczególnione w harmonogramie rzeczowo–finansowym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lastRenderedPageBreak/>
        <w:t xml:space="preserve">protokoły przywrócenia terenu dostawy i prac dotyczących instalacji przedmiotu dostawy do stanu pierwotnego; </w:t>
      </w:r>
    </w:p>
    <w:p w14:paraId="4C748313" w14:textId="77777777" w:rsidR="00C15667" w:rsidRPr="001A26D4" w:rsidRDefault="00711335">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sprawdzenie, czy nie ujawniły się inne wady, które nie zostały do czasu odbioru ostatecznego stwierdzone; </w:t>
      </w:r>
    </w:p>
    <w:p w14:paraId="1C782C4E"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711335">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6</w:t>
      </w:r>
    </w:p>
    <w:p w14:paraId="42FC62DA" w14:textId="77777777" w:rsidR="00220899" w:rsidRPr="001A26D4" w:rsidRDefault="00220899" w:rsidP="00220899">
      <w:pPr>
        <w:spacing w:after="0" w:line="276" w:lineRule="auto"/>
        <w:jc w:val="center"/>
        <w:rPr>
          <w:rFonts w:ascii="Cambria" w:hAnsi="Cambria" w:cs="Arial"/>
        </w:rPr>
      </w:pPr>
      <w:r w:rsidRPr="001A26D4">
        <w:rPr>
          <w:rFonts w:ascii="Cambria" w:hAnsi="Cambria" w:cs="Arial"/>
          <w:b/>
          <w:bCs/>
        </w:rPr>
        <w:t>Wynagrodzenie i zapłata wynagrodzenia</w:t>
      </w:r>
    </w:p>
    <w:p w14:paraId="67690C4D"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4409CE4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rPr>
        <w:t xml:space="preserve">netto ................ PLN </w:t>
      </w:r>
    </w:p>
    <w:p w14:paraId="473B274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14:paraId="435E8C1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b/>
          <w:bCs/>
        </w:rPr>
        <w:t xml:space="preserve">brutto ……………………………… PLN </w:t>
      </w:r>
    </w:p>
    <w:p w14:paraId="1D30F1CD"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i/>
          <w:iCs/>
        </w:rPr>
        <w:t xml:space="preserve">(słownie: ……………………………………………………………………… złotych). </w:t>
      </w:r>
    </w:p>
    <w:p w14:paraId="79B8F5B9"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47B7B983"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Pr>
          <w:rFonts w:ascii="Cambria" w:hAnsi="Cambria" w:cs="Arial"/>
        </w:rPr>
        <w:t>R</w:t>
      </w:r>
      <w:r w:rsidRPr="001A26D4">
        <w:rPr>
          <w:rFonts w:ascii="Cambria" w:hAnsi="Cambria" w:cs="Arial"/>
        </w:rPr>
        <w:t xml:space="preserve">ozliczenie za wykonane roboty nastąpi w oparciu o fakturę końcową wystawioną na podstawie protokołu odbioru końcowego. Faktura końcowa będzie płatna </w:t>
      </w:r>
      <w:r w:rsidRPr="001A26D4">
        <w:rPr>
          <w:rFonts w:ascii="Cambria" w:hAnsi="Cambria" w:cs="Arial"/>
        </w:rPr>
        <w:br/>
        <w:t>w terminie do 30 dni od daty jej otrzymania przez Zamawiającego</w:t>
      </w:r>
      <w:r>
        <w:rPr>
          <w:rFonts w:ascii="Cambria" w:hAnsi="Cambria" w:cs="Arial"/>
        </w:rPr>
        <w:t xml:space="preserve"> na rachunek Wykonawcy: ………………………………………………………</w:t>
      </w:r>
      <w:proofErr w:type="gramStart"/>
      <w:r>
        <w:rPr>
          <w:rFonts w:ascii="Cambria" w:hAnsi="Cambria" w:cs="Arial"/>
        </w:rPr>
        <w:t>…….</w:t>
      </w:r>
      <w:proofErr w:type="gramEnd"/>
      <w:r w:rsidRPr="001A26D4">
        <w:rPr>
          <w:rFonts w:ascii="Cambria" w:hAnsi="Cambria" w:cs="Arial"/>
        </w:rPr>
        <w:t xml:space="preserve">. </w:t>
      </w:r>
    </w:p>
    <w:p w14:paraId="6E54A171"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14:paraId="3FC25780"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w:t>
      </w:r>
      <w:r w:rsidRPr="001A26D4">
        <w:rPr>
          <w:rFonts w:ascii="Cambria" w:hAnsi="Cambria" w:cs="Arial"/>
        </w:rPr>
        <w:lastRenderedPageBreak/>
        <w:t xml:space="preserve">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1DA38F43"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26BBB4F0"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0A192C7D"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02CC6DF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77A332D5"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4AE205A0"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5BFE996C" w14:textId="77777777" w:rsidR="00220899" w:rsidRPr="001A26D4" w:rsidRDefault="00220899" w:rsidP="00220899">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150BD51" w14:textId="77777777" w:rsidR="00220899" w:rsidRPr="001A26D4" w:rsidRDefault="00220899" w:rsidP="00220899">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217BBAA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22B42D33"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7536CE86"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9DD214"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0B913C95"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DCDE88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lastRenderedPageBreak/>
        <w:t xml:space="preserve">Zamawiający dokona bezpośredniej zapłaty wynagrodzenia podwykonawcy lub dalszemu podwykonawcy w terminie 30 dni od upływu terminu wyznaczonego Wykonawcy na zgłoszenie uwag. </w:t>
      </w:r>
    </w:p>
    <w:p w14:paraId="3F5DAEE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080B881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3D6FDE33"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07AC253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711335">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8</w:t>
      </w:r>
    </w:p>
    <w:p w14:paraId="4D12F7AE" w14:textId="77777777" w:rsidR="00C15667" w:rsidRPr="001A26D4" w:rsidRDefault="00711335">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14:paraId="0DC7DF1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w:t>
      </w:r>
      <w:r w:rsidRPr="001A26D4">
        <w:rPr>
          <w:rFonts w:ascii="Cambria" w:hAnsi="Cambria" w:cs="Arial"/>
        </w:rPr>
        <w:lastRenderedPageBreak/>
        <w:t xml:space="preserve">ust. 1 pkt 41 lit. a, b – w wys. 0,05% wynagrodzenia brutto określonego w § 6 ust. 1 niniejszej umowy; </w:t>
      </w:r>
    </w:p>
    <w:p w14:paraId="178BCD3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lastRenderedPageBreak/>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1923CED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14:paraId="056A7163"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14:paraId="60237F47"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Protokół odbioru prac w toku, którego załącznikiem jest protokół inwentaryzacji prac, stanowić będzie podstawę do wystawienia faktury przez Wykonawcę. </w:t>
      </w:r>
    </w:p>
    <w:p w14:paraId="7D7666A6"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5688352E"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426D061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14:paraId="261AA2FF"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r>
      <w:r w:rsidRPr="001A26D4">
        <w:rPr>
          <w:rFonts w:ascii="Cambria" w:hAnsi="Cambria" w:cs="Arial"/>
        </w:rPr>
        <w:lastRenderedPageBreak/>
        <w:t xml:space="preserve">o podwykonawstwo, której przedmiotem są roboty budowlane, w terminie 7 dni od dnia jej zawarcia. </w:t>
      </w:r>
    </w:p>
    <w:p w14:paraId="4D916B4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11</w:t>
      </w:r>
    </w:p>
    <w:p w14:paraId="2BBA4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lastRenderedPageBreak/>
        <w:t xml:space="preserve">szkód powstałych w związku z wadliwym usuwaniem wady. </w:t>
      </w:r>
    </w:p>
    <w:p w14:paraId="00D3A0C7"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14:paraId="4E10F2F7"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w:t>
      </w:r>
      <w:r w:rsidRPr="001A26D4">
        <w:rPr>
          <w:rFonts w:ascii="Cambria" w:hAnsi="Cambria" w:cs="Arial"/>
        </w:rPr>
        <w:lastRenderedPageBreak/>
        <w:t xml:space="preserve">dowolnych należności Wykonawcy przysługujących mu od Zamawiającego, w tym z zabezpieczenia należytego wykonania umowy. </w:t>
      </w:r>
    </w:p>
    <w:p w14:paraId="7224F32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1B14242F" w14:textId="6EBCECD9" w:rsidR="001A26D4" w:rsidRDefault="001A26D4">
      <w:pPr>
        <w:spacing w:after="0" w:line="276" w:lineRule="auto"/>
        <w:jc w:val="both"/>
        <w:rPr>
          <w:rFonts w:ascii="Cambria" w:hAnsi="Cambria" w:cs="Arial"/>
        </w:rPr>
      </w:pP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12</w:t>
      </w:r>
    </w:p>
    <w:p w14:paraId="4B7AFF63"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711335">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lastRenderedPageBreak/>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2C4749B8"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14:paraId="45E3D270"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lastRenderedPageBreak/>
        <w:t xml:space="preserve">Zamawiający na podstawie art. 455 ust. 1 ustawy dopuszcza zmianę umowy w zakresie: </w:t>
      </w:r>
    </w:p>
    <w:p w14:paraId="1B1A05DF"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4583D49A" w14:textId="77777777" w:rsidR="00A155CC" w:rsidRDefault="00711335" w:rsidP="00A155C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120D1687" w14:textId="568822AC" w:rsidR="00A155CC" w:rsidRPr="00A155CC" w:rsidRDefault="00A155CC" w:rsidP="00A155CC">
      <w:pPr>
        <w:pStyle w:val="Akapitzlist"/>
        <w:numPr>
          <w:ilvl w:val="0"/>
          <w:numId w:val="32"/>
        </w:numPr>
        <w:spacing w:after="0" w:line="276" w:lineRule="auto"/>
        <w:ind w:left="284" w:hanging="284"/>
        <w:jc w:val="both"/>
        <w:rPr>
          <w:rFonts w:ascii="Cambria" w:hAnsi="Cambria" w:cs="Arial"/>
        </w:rPr>
      </w:pPr>
      <w:r w:rsidRPr="00A155CC">
        <w:rPr>
          <w:rFonts w:ascii="Cambria" w:hAnsi="Cambria" w:cs="Arial"/>
        </w:rPr>
        <w:t xml:space="preserve">Zamawiający wskazuje, że w przypadku, gdy nie będzie konieczności wykonania pełnego zakresu umowy wynikającego z </w:t>
      </w:r>
      <w:r>
        <w:rPr>
          <w:rFonts w:ascii="Cambria" w:hAnsi="Cambria" w:cs="Arial"/>
        </w:rPr>
        <w:t xml:space="preserve">kalkulacji ceny </w:t>
      </w:r>
      <w:r w:rsidRPr="00A155CC">
        <w:rPr>
          <w:rFonts w:ascii="Cambria" w:hAnsi="Cambria" w:cs="Arial"/>
        </w:rPr>
        <w:t>to ograniczy zakres zamówienia, jednakże d</w:t>
      </w:r>
      <w:r>
        <w:rPr>
          <w:rFonts w:ascii="Cambria" w:hAnsi="Cambria" w:cs="Arial"/>
        </w:rPr>
        <w:t>o wysokości nie mniejszej niż 75% wartości umowy</w:t>
      </w:r>
      <w:r w:rsidRPr="00A155CC">
        <w:rPr>
          <w:rFonts w:ascii="Cambria" w:hAnsi="Cambria" w:cs="Arial"/>
        </w:rPr>
        <w:t>.</w:t>
      </w:r>
    </w:p>
    <w:p w14:paraId="0AFB4F4A" w14:textId="77777777" w:rsidR="00A155CC" w:rsidRPr="00A155CC" w:rsidRDefault="00A155CC" w:rsidP="00A155CC">
      <w:pPr>
        <w:spacing w:after="0" w:line="276" w:lineRule="auto"/>
        <w:jc w:val="both"/>
        <w:rPr>
          <w:rFonts w:ascii="Cambria" w:hAnsi="Cambria" w:cs="Arial"/>
        </w:rPr>
      </w:pP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484E84EE" w:rsidR="00C15667" w:rsidRPr="001A26D4" w:rsidRDefault="00711335">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wykonywanie prac fizycznych przy wykonywaniu robót budowlanych,</w:t>
      </w:r>
    </w:p>
    <w:p w14:paraId="29B26C8F" w14:textId="77777777" w:rsidR="00C15667" w:rsidRPr="001A26D4" w:rsidRDefault="00711335">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14:paraId="17E8E75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14:paraId="5D0002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lastRenderedPageBreak/>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lastRenderedPageBreak/>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711335"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1F876162"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W sprawach nieuregulowanych niniejszą umową stosuje się przepisy ustaw: ustawy z dnia 11.09.2019 r. Prawo zamówień publicznych (Dz. U. z 20</w:t>
      </w:r>
      <w:r w:rsidR="00220899">
        <w:rPr>
          <w:rFonts w:ascii="Cambria" w:hAnsi="Cambria" w:cs="Arial"/>
        </w:rPr>
        <w:t>23</w:t>
      </w:r>
      <w:r w:rsidRPr="001A26D4">
        <w:rPr>
          <w:rFonts w:ascii="Cambria" w:hAnsi="Cambria" w:cs="Arial"/>
        </w:rPr>
        <w:t xml:space="preserve"> r. poz. </w:t>
      </w:r>
      <w:r w:rsidR="00220899">
        <w:rPr>
          <w:rFonts w:ascii="Cambria" w:hAnsi="Cambria" w:cs="Arial"/>
        </w:rPr>
        <w:t>1605</w:t>
      </w:r>
      <w:r w:rsidRPr="001A26D4">
        <w:rPr>
          <w:rFonts w:ascii="Cambria" w:hAnsi="Cambria" w:cs="Arial"/>
        </w:rPr>
        <w:t xml:space="preserve">),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6A62E555"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Umowę sporządzono w </w:t>
      </w:r>
      <w:r w:rsidR="009017AF">
        <w:rPr>
          <w:rFonts w:ascii="Cambria" w:hAnsi="Cambria" w:cs="Arial"/>
        </w:rPr>
        <w:t>2</w:t>
      </w:r>
      <w:r w:rsidRPr="001A26D4">
        <w:rPr>
          <w:rFonts w:ascii="Cambria" w:hAnsi="Cambria" w:cs="Arial"/>
        </w:rPr>
        <w:t xml:space="preserve"> egzemplarzach, w tym </w:t>
      </w:r>
      <w:r w:rsidR="009017AF">
        <w:rPr>
          <w:rFonts w:ascii="Cambria" w:hAnsi="Cambria" w:cs="Arial"/>
        </w:rPr>
        <w:t>1</w:t>
      </w:r>
      <w:r w:rsidRPr="001A26D4">
        <w:rPr>
          <w:rFonts w:ascii="Cambria" w:hAnsi="Cambria" w:cs="Arial"/>
        </w:rPr>
        <w:t xml:space="preserve"> egz. dla Zamawiającego i 1 egz. dla Wykonawcy.</w:t>
      </w:r>
    </w:p>
    <w:p w14:paraId="209962F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711335">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711335">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5FE9081C"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711335">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711335">
            <w:pPr>
              <w:widowControl w:val="0"/>
              <w:spacing w:after="0" w:line="276" w:lineRule="auto"/>
              <w:jc w:val="center"/>
              <w:rPr>
                <w:rFonts w:ascii="Cambria" w:hAnsi="Cambria" w:cs="Arial"/>
              </w:rPr>
            </w:pPr>
            <w:r w:rsidRPr="001A26D4">
              <w:rPr>
                <w:rFonts w:ascii="Cambria" w:eastAsia="Calibri" w:hAnsi="Cambria" w:cs="Arial"/>
                <w:b/>
                <w:bCs/>
              </w:rPr>
              <w:t>WYKONAWCA</w:t>
            </w:r>
          </w:p>
        </w:tc>
      </w:tr>
    </w:tbl>
    <w:p w14:paraId="4B4A9760" w14:textId="77777777" w:rsidR="00C15667" w:rsidRDefault="00C15667">
      <w:pPr>
        <w:spacing w:after="0" w:line="276" w:lineRule="auto"/>
        <w:rPr>
          <w:rFonts w:ascii="Cambria" w:hAnsi="Cambria" w:cs="Arial"/>
        </w:rPr>
      </w:pPr>
    </w:p>
    <w:p w14:paraId="44D1478D" w14:textId="77777777" w:rsidR="00711335" w:rsidRDefault="00711335">
      <w:pPr>
        <w:spacing w:after="0" w:line="276" w:lineRule="auto"/>
        <w:rPr>
          <w:rFonts w:ascii="Cambria" w:hAnsi="Cambria" w:cs="Arial"/>
        </w:rPr>
      </w:pPr>
    </w:p>
    <w:p w14:paraId="03BB8D1E" w14:textId="77777777" w:rsidR="00711335" w:rsidRDefault="00711335">
      <w:pPr>
        <w:spacing w:after="0" w:line="276" w:lineRule="auto"/>
        <w:rPr>
          <w:rFonts w:ascii="Cambria" w:hAnsi="Cambria" w:cs="Arial"/>
        </w:rPr>
      </w:pPr>
    </w:p>
    <w:p w14:paraId="1A6E707B" w14:textId="77777777" w:rsidR="00220899" w:rsidRDefault="00220899">
      <w:pPr>
        <w:spacing w:after="0" w:line="276" w:lineRule="auto"/>
        <w:rPr>
          <w:rFonts w:ascii="Cambria" w:hAnsi="Cambria" w:cs="Arial"/>
        </w:rPr>
      </w:pPr>
    </w:p>
    <w:p w14:paraId="6DF99EE2" w14:textId="77777777" w:rsidR="00220899" w:rsidRDefault="00220899">
      <w:pPr>
        <w:spacing w:after="0" w:line="276" w:lineRule="auto"/>
        <w:rPr>
          <w:rFonts w:ascii="Cambria" w:hAnsi="Cambria" w:cs="Arial"/>
        </w:rPr>
      </w:pPr>
    </w:p>
    <w:p w14:paraId="725D712F" w14:textId="77777777" w:rsidR="00220899" w:rsidRDefault="00220899">
      <w:pPr>
        <w:spacing w:after="0" w:line="276" w:lineRule="auto"/>
        <w:rPr>
          <w:rFonts w:ascii="Cambria" w:hAnsi="Cambria" w:cs="Arial"/>
        </w:rPr>
      </w:pPr>
    </w:p>
    <w:p w14:paraId="00A9DAAE" w14:textId="77777777" w:rsidR="00220899" w:rsidRDefault="00220899">
      <w:pPr>
        <w:spacing w:after="0" w:line="276" w:lineRule="auto"/>
        <w:rPr>
          <w:rFonts w:ascii="Cambria" w:hAnsi="Cambria" w:cs="Arial"/>
        </w:rPr>
      </w:pPr>
    </w:p>
    <w:p w14:paraId="2AA47383" w14:textId="77777777" w:rsidR="009017AF" w:rsidRDefault="009017AF">
      <w:pPr>
        <w:spacing w:after="0" w:line="276" w:lineRule="auto"/>
        <w:rPr>
          <w:rFonts w:ascii="Cambria" w:hAnsi="Cambria" w:cs="Arial"/>
        </w:rPr>
      </w:pPr>
    </w:p>
    <w:p w14:paraId="744C0004" w14:textId="77777777" w:rsidR="009017AF" w:rsidRDefault="009017AF">
      <w:pPr>
        <w:spacing w:after="0" w:line="276" w:lineRule="auto"/>
        <w:rPr>
          <w:rFonts w:ascii="Cambria" w:hAnsi="Cambria" w:cs="Arial"/>
        </w:rPr>
      </w:pPr>
    </w:p>
    <w:p w14:paraId="5E75F658" w14:textId="77777777" w:rsidR="009017AF" w:rsidRDefault="009017AF">
      <w:pPr>
        <w:spacing w:after="0" w:line="276" w:lineRule="auto"/>
        <w:rPr>
          <w:rFonts w:ascii="Cambria" w:hAnsi="Cambria" w:cs="Arial"/>
        </w:rPr>
      </w:pPr>
    </w:p>
    <w:p w14:paraId="1E9D4612" w14:textId="77777777" w:rsidR="009017AF" w:rsidRDefault="009017AF">
      <w:pPr>
        <w:spacing w:after="0" w:line="276" w:lineRule="auto"/>
        <w:rPr>
          <w:rFonts w:ascii="Cambria" w:hAnsi="Cambria" w:cs="Arial"/>
        </w:rPr>
      </w:pPr>
    </w:p>
    <w:p w14:paraId="1858361C" w14:textId="77777777" w:rsidR="009017AF" w:rsidRDefault="009017AF">
      <w:pPr>
        <w:spacing w:after="0" w:line="276" w:lineRule="auto"/>
        <w:rPr>
          <w:rFonts w:ascii="Cambria" w:hAnsi="Cambria" w:cs="Arial"/>
        </w:rPr>
      </w:pPr>
    </w:p>
    <w:p w14:paraId="7DF094BA" w14:textId="77777777" w:rsidR="009017AF" w:rsidRDefault="009017AF">
      <w:pPr>
        <w:spacing w:after="0" w:line="276" w:lineRule="auto"/>
        <w:rPr>
          <w:rFonts w:ascii="Cambria" w:hAnsi="Cambria" w:cs="Arial"/>
        </w:rPr>
      </w:pPr>
    </w:p>
    <w:p w14:paraId="4C175C4A" w14:textId="77777777" w:rsidR="00220899" w:rsidRDefault="00220899">
      <w:pPr>
        <w:spacing w:after="0" w:line="276" w:lineRule="auto"/>
        <w:rPr>
          <w:rFonts w:ascii="Cambria" w:hAnsi="Cambria" w:cs="Arial"/>
        </w:rPr>
      </w:pPr>
    </w:p>
    <w:p w14:paraId="23071809" w14:textId="77777777" w:rsidR="00220899" w:rsidRDefault="00220899">
      <w:pPr>
        <w:spacing w:after="0" w:line="276" w:lineRule="auto"/>
        <w:rPr>
          <w:rFonts w:ascii="Cambria" w:hAnsi="Cambria" w:cs="Arial"/>
        </w:rPr>
      </w:pPr>
    </w:p>
    <w:p w14:paraId="2DC53D7C" w14:textId="77777777" w:rsidR="00220899" w:rsidRDefault="00220899">
      <w:pPr>
        <w:spacing w:after="0" w:line="276" w:lineRule="auto"/>
        <w:rPr>
          <w:rFonts w:ascii="Cambria" w:hAnsi="Cambria" w:cs="Arial"/>
        </w:rPr>
      </w:pPr>
    </w:p>
    <w:p w14:paraId="31802961" w14:textId="77777777" w:rsidR="00220899" w:rsidRDefault="00220899">
      <w:pPr>
        <w:spacing w:after="0" w:line="276" w:lineRule="auto"/>
        <w:rPr>
          <w:rFonts w:ascii="Cambria" w:hAnsi="Cambria" w:cs="Arial"/>
        </w:rPr>
      </w:pPr>
    </w:p>
    <w:p w14:paraId="14F96E35" w14:textId="77777777" w:rsidR="00220899" w:rsidRDefault="00220899">
      <w:pPr>
        <w:spacing w:after="0" w:line="276" w:lineRule="auto"/>
        <w:rPr>
          <w:rFonts w:ascii="Cambria" w:hAnsi="Cambria" w:cs="Arial"/>
        </w:rPr>
      </w:pPr>
    </w:p>
    <w:p w14:paraId="3169F0FA" w14:textId="77777777" w:rsidR="00220899" w:rsidRDefault="00220899">
      <w:pPr>
        <w:spacing w:after="0" w:line="276" w:lineRule="auto"/>
        <w:rPr>
          <w:rFonts w:ascii="Cambria" w:hAnsi="Cambria" w:cs="Arial"/>
        </w:rPr>
      </w:pPr>
    </w:p>
    <w:p w14:paraId="18011DF4" w14:textId="77777777" w:rsidR="00711335" w:rsidRDefault="00711335">
      <w:pPr>
        <w:spacing w:after="0" w:line="276" w:lineRule="auto"/>
        <w:rPr>
          <w:rFonts w:ascii="Cambria" w:hAnsi="Cambria" w:cs="Arial"/>
        </w:rPr>
      </w:pPr>
    </w:p>
    <w:p w14:paraId="1A9FA657" w14:textId="77777777" w:rsidR="00711335" w:rsidRPr="001A26D4" w:rsidRDefault="00711335">
      <w:pPr>
        <w:spacing w:after="0" w:line="276" w:lineRule="auto"/>
        <w:rPr>
          <w:rFonts w:ascii="Cambria" w:hAnsi="Cambria" w:cs="Arial"/>
        </w:rPr>
      </w:pPr>
    </w:p>
    <w:p w14:paraId="04B5C191"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Załącznik nr 3 do umowy </w:t>
      </w:r>
    </w:p>
    <w:p w14:paraId="4BCF8468" w14:textId="77777777" w:rsidR="00C15667" w:rsidRPr="001A26D4" w:rsidRDefault="00711335">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711335">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711335">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711335">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711335">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14:paraId="1385ACE6"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14:paraId="29B5D8A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lastRenderedPageBreak/>
        <w:t xml:space="preserve">szkód powstałych w związku z wystąpieniem wady; </w:t>
      </w:r>
    </w:p>
    <w:p w14:paraId="2B93AB76"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szkód wynikłych z winy użytkownika, w szczególności na skutek użytkowania w sposób niezgodny z przeznaczeniem lub zasadami eksploatacji. </w:t>
      </w:r>
    </w:p>
    <w:p w14:paraId="7BBC107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 okresie gwarancyjnym, w trakcie usuwania zgłoszonej przez Zamawiającego wady, Wykonawca zobowiązuje się do montażu zastępczej oprawy/opraw LED do czasu usunięcia stwierdzonej wady. Zamontowana zastępcza oprawa/oprawy LED nie może posiadać parametrów techniczno – użytkowych gorszych od oprawy/opraw, która podlega naprawie bądź wymianie. </w:t>
      </w:r>
    </w:p>
    <w:p w14:paraId="689E2CE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172CE1F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711335">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14:paraId="64F510B8"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711335"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711335">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20899"/>
    <w:rsid w:val="00265F37"/>
    <w:rsid w:val="002E206F"/>
    <w:rsid w:val="00570694"/>
    <w:rsid w:val="005E0418"/>
    <w:rsid w:val="00711335"/>
    <w:rsid w:val="008050DF"/>
    <w:rsid w:val="009017AF"/>
    <w:rsid w:val="009E63A9"/>
    <w:rsid w:val="00A155CC"/>
    <w:rsid w:val="00B10BCC"/>
    <w:rsid w:val="00BA04FC"/>
    <w:rsid w:val="00BF74C1"/>
    <w:rsid w:val="00C15667"/>
    <w:rsid w:val="00C53723"/>
    <w:rsid w:val="00D67022"/>
    <w:rsid w:val="00E140FE"/>
    <w:rsid w:val="00F400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10451</Words>
  <Characters>62707</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Ada</cp:lastModifiedBy>
  <cp:revision>10</cp:revision>
  <cp:lastPrinted>2021-07-09T12:31:00Z</cp:lastPrinted>
  <dcterms:created xsi:type="dcterms:W3CDTF">2022-10-27T14:42:00Z</dcterms:created>
  <dcterms:modified xsi:type="dcterms:W3CDTF">2024-02-14T09:52:00Z</dcterms:modified>
  <dc:language>pl-PL</dc:language>
</cp:coreProperties>
</file>