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4E6FA7C0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94633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4633C" w:rsidRPr="0094633C">
        <w:rPr>
          <w:rFonts w:ascii="Times New Roman" w:eastAsia="Times New Roman" w:hAnsi="Times New Roman" w:cs="Times New Roman"/>
          <w:b/>
          <w:i/>
          <w:lang w:eastAsia="pl-PL"/>
        </w:rPr>
        <w:t>Budowa ul. Zastacyjnej w Grójcu w kierunku Marianowa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4683ED50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</w:t>
      </w:r>
      <w:proofErr w:type="gramStart"/>
      <w:r w:rsidRPr="00756E64">
        <w:rPr>
          <w:rFonts w:ascii="Times New Roman" w:eastAsia="Times New Roman" w:hAnsi="Times New Roman" w:cs="Times New Roman"/>
          <w:lang w:eastAsia="pl-PL"/>
        </w:rPr>
        <w:t>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„Budowa ul. Zastacyjnej w Grójcu w kierunku Marianowa”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078F22A2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94633C" w:rsidRPr="001B224D">
        <w:rPr>
          <w:rFonts w:ascii="Times New Roman" w:eastAsia="Times New Roman" w:hAnsi="Times New Roman" w:cs="Times New Roman"/>
          <w:b/>
          <w:bCs/>
        </w:rPr>
        <w:t>4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</w:t>
      </w:r>
      <w:r w:rsidRPr="005269B4">
        <w:rPr>
          <w:rFonts w:ascii="Times New Roman" w:hAnsi="Times New Roman" w:cs="Times New Roman"/>
          <w:bCs/>
        </w:rPr>
        <w:lastRenderedPageBreak/>
        <w:t>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 xml:space="preserve">osoby pełniącej funkcję kierownika budowy w przypadku zaistnienia jednej z </w:t>
      </w:r>
      <w:r w:rsidRPr="0020144B">
        <w:lastRenderedPageBreak/>
        <w:t>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7B0401FE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7B0401FE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4739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12</cp:revision>
  <cp:lastPrinted>2022-03-18T08:46:00Z</cp:lastPrinted>
  <dcterms:created xsi:type="dcterms:W3CDTF">2023-03-28T10:28:00Z</dcterms:created>
  <dcterms:modified xsi:type="dcterms:W3CDTF">2024-01-04T11:15:00Z</dcterms:modified>
</cp:coreProperties>
</file>