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1890B10B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109A">
        <w:rPr>
          <w:rFonts w:ascii="Times New Roman" w:hAnsi="Times New Roman" w:cs="Times New Roman"/>
          <w:b/>
          <w:bCs/>
        </w:rPr>
        <w:t>3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DAAAC6B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7110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3B8BF29D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A46407">
        <w:rPr>
          <w:rFonts w:ascii="Times New Roman" w:hAnsi="Times New Roman" w:cs="Times New Roman"/>
          <w:b/>
        </w:rPr>
        <w:t>23</w:t>
      </w:r>
      <w:r w:rsidRPr="00510BBA">
        <w:rPr>
          <w:rFonts w:ascii="Times New Roman" w:hAnsi="Times New Roman" w:cs="Times New Roman"/>
          <w:b/>
        </w:rPr>
        <w:t>.202</w:t>
      </w:r>
      <w:r w:rsidR="0071109A">
        <w:rPr>
          <w:rFonts w:ascii="Times New Roman" w:hAnsi="Times New Roman" w:cs="Times New Roman"/>
          <w:b/>
        </w:rPr>
        <w:t>3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bookmarkStart w:id="0" w:name="_Hlk146187316"/>
      <w:r w:rsidR="00A46407" w:rsidRPr="00132324">
        <w:rPr>
          <w:rFonts w:ascii="Times New Roman" w:hAnsi="Times New Roman"/>
          <w:b/>
          <w:i/>
        </w:rPr>
        <w:t>Przebudowa i budowa obiektów budowlanych na terenie stadionu miejskiego w Grójcu – etap I</w:t>
      </w:r>
      <w:bookmarkEnd w:id="0"/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5F1968E1" w14:textId="06F2869A" w:rsidR="007C12F4" w:rsidRPr="007C12F4" w:rsidRDefault="00F449FD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  <w:r w:rsidRP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Niniejsze zamówienia jest </w:t>
      </w:r>
      <w:bookmarkStart w:id="1" w:name="_Hlk140047733"/>
      <w:r w:rsidR="007C12F4" w:rsidRP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współfinasowa</w:t>
      </w:r>
      <w:r w:rsid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ne</w:t>
      </w:r>
      <w:r w:rsidR="007C12F4" w:rsidRP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 z budżetu Województwa Mazowieckiego w ramach Instrumentu wsparcia zadań ważnych dla równomiernego rozwoju województwa mazowieckiego</w:t>
      </w:r>
      <w:r w:rsid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.</w:t>
      </w:r>
    </w:p>
    <w:p w14:paraId="03ABA63C" w14:textId="6CD95F32" w:rsidR="0071109A" w:rsidRDefault="0071109A" w:rsidP="0071109A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pl-PL"/>
        </w:rPr>
      </w:pPr>
    </w:p>
    <w:bookmarkEnd w:id="1"/>
    <w:p w14:paraId="06BD2EB5" w14:textId="77777777" w:rsidR="0071109A" w:rsidRPr="00D0756C" w:rsidRDefault="0071109A" w:rsidP="00F449FD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7C4F4EF4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A46407">
        <w:rPr>
          <w:rFonts w:ascii="Times New Roman" w:hAnsi="Times New Roman" w:cs="Times New Roman"/>
          <w:lang w:eastAsia="pl-PL"/>
        </w:rPr>
        <w:t xml:space="preserve">             </w:t>
      </w:r>
      <w:proofErr w:type="gramStart"/>
      <w:r w:rsidR="00A46407">
        <w:rPr>
          <w:rFonts w:ascii="Times New Roman" w:hAnsi="Times New Roman" w:cs="Times New Roman"/>
          <w:lang w:eastAsia="pl-PL"/>
        </w:rPr>
        <w:t xml:space="preserve">  </w:t>
      </w:r>
      <w:r w:rsidR="007C12F4">
        <w:rPr>
          <w:rFonts w:ascii="Times New Roman" w:hAnsi="Times New Roman" w:cs="Times New Roman"/>
          <w:lang w:eastAsia="pl-PL"/>
        </w:rPr>
        <w:t>”</w:t>
      </w:r>
      <w:r w:rsidR="00A46407" w:rsidRPr="00132324">
        <w:rPr>
          <w:rFonts w:ascii="Times New Roman" w:hAnsi="Times New Roman"/>
          <w:b/>
          <w:i/>
        </w:rPr>
        <w:t>Przebudowa</w:t>
      </w:r>
      <w:proofErr w:type="gramEnd"/>
      <w:r w:rsidR="00A46407" w:rsidRPr="00132324">
        <w:rPr>
          <w:rFonts w:ascii="Times New Roman" w:hAnsi="Times New Roman"/>
          <w:b/>
          <w:i/>
        </w:rPr>
        <w:t xml:space="preserve"> i budowa obiektów budowlanych na terenie stadionu miejskiego w Grójcu – etap I</w:t>
      </w:r>
      <w:r w:rsidR="007C12F4">
        <w:rPr>
          <w:rFonts w:ascii="Times New Roman" w:hAnsi="Times New Roman" w:cs="Times New Roman"/>
          <w:b/>
          <w:i/>
          <w:lang w:eastAsia="pl-PL"/>
        </w:rPr>
        <w:t>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2CDC6716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</w:t>
      </w:r>
      <w:r w:rsidR="00A46407">
        <w:rPr>
          <w:rFonts w:ascii="Times New Roman" w:hAnsi="Times New Roman" w:cs="Times New Roman"/>
        </w:rPr>
        <w:t>.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lastRenderedPageBreak/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477790C5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7C12F4">
        <w:rPr>
          <w:rFonts w:ascii="Times New Roman" w:hAnsi="Times New Roman" w:cs="Times New Roman"/>
          <w:b/>
          <w:bCs/>
        </w:rPr>
        <w:t>12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7CF28BE7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3BF90A" w14:textId="76BFB6DA" w:rsidR="000F2DC0" w:rsidRDefault="000F2DC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ab/>
      </w:r>
    </w:p>
    <w:p w14:paraId="6E1F11BA" w14:textId="77777777" w:rsidR="00A46407" w:rsidRDefault="00A46407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C77F71" w14:textId="77777777" w:rsidR="00A46407" w:rsidRPr="009F74C8" w:rsidRDefault="00A46407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77777777"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</w:t>
      </w:r>
      <w:proofErr w:type="gramStart"/>
      <w:r w:rsidRPr="009F74C8">
        <w:rPr>
          <w:rFonts w:ascii="Times New Roman" w:hAnsi="Times New Roman" w:cs="Times New Roman"/>
        </w:rPr>
        <w:t xml:space="preserve">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</w:t>
      </w:r>
      <w:proofErr w:type="gramEnd"/>
      <w:r w:rsidRPr="009F74C8">
        <w:rPr>
          <w:rFonts w:ascii="Times New Roman" w:hAnsi="Times New Roman" w:cs="Times New Roman"/>
        </w:rPr>
        <w:t xml:space="preserve">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4F70DA22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</w:t>
      </w:r>
      <w:proofErr w:type="gramStart"/>
      <w:r w:rsidRPr="009F74C8">
        <w:rPr>
          <w:rFonts w:ascii="Times New Roman" w:hAnsi="Times New Roman" w:cs="Times New Roman"/>
          <w:lang w:eastAsia="en-US"/>
        </w:rPr>
        <w:t>ze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szczególnym zachowaniem przepisów ustawy o odpadach, materiałów z rozbiórki nie nadających się do wykorzystania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koszt.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</w:t>
      </w:r>
      <w:r w:rsidRPr="009F74C8">
        <w:rPr>
          <w:rFonts w:ascii="Times New Roman" w:hAnsi="Times New Roman" w:cs="Times New Roman"/>
        </w:rPr>
        <w:lastRenderedPageBreak/>
        <w:t xml:space="preserve">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376D1A2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 oraz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2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 xml:space="preserve">oraz wiodący inspektor nadzoru zaakceptuje harmonogram rzeczowo-finansowy w terminie 7 dni od </w:t>
      </w:r>
      <w:r w:rsidR="00816428" w:rsidRPr="00FB3551">
        <w:rPr>
          <w:rFonts w:ascii="Times New Roman" w:hAnsi="Times New Roman" w:cs="Times New Roman"/>
        </w:rPr>
        <w:lastRenderedPageBreak/>
        <w:t>daty przedłożenia harmonogramu przez Wykonawcę.</w:t>
      </w:r>
      <w:bookmarkEnd w:id="2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lastRenderedPageBreak/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rozbiórkowych,</w:t>
      </w:r>
      <w:r w:rsidR="003750AE" w:rsidRPr="00BB5CE6">
        <w:rPr>
          <w:rFonts w:ascii="Times New Roman" w:hAnsi="Times New Roman" w:cs="Times New Roman"/>
        </w:rPr>
        <w:t xml:space="preserve"> 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45C2992F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20%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396AB3E1" w14:textId="7B5D2659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40%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6A41FCB5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co najmniej 60%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4DDF5579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>po zrealizowaniu co najmniej 80%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59A6B580" w14:textId="0BDED049" w:rsidR="007822BC" w:rsidRPr="007822BC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2BC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7822BC">
        <w:rPr>
          <w:rFonts w:ascii="Times New Roman" w:hAnsi="Times New Roman" w:cs="Times New Roman"/>
        </w:rPr>
        <w:t>po zrealizowaniu całego zakresu umowy</w:t>
      </w:r>
      <w:r w:rsidRPr="007822BC">
        <w:rPr>
          <w:rFonts w:ascii="Times New Roman" w:hAnsi="Times New Roman" w:cs="Times New Roman"/>
        </w:rPr>
        <w:t>, potwierdzonego protokołem odbioru końcowego</w:t>
      </w:r>
      <w:r w:rsidR="007822BC" w:rsidRPr="007822BC">
        <w:rPr>
          <w:rFonts w:ascii="Times New Roman" w:hAnsi="Times New Roman" w:cs="Times New Roman"/>
        </w:rPr>
        <w:t>,</w:t>
      </w:r>
      <w:r w:rsidRPr="007822BC">
        <w:rPr>
          <w:rFonts w:ascii="Times New Roman" w:hAnsi="Times New Roman" w:cs="Times New Roman"/>
        </w:rPr>
        <w:t xml:space="preserve"> </w:t>
      </w:r>
      <w:r w:rsidR="007822BC" w:rsidRP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06112B25" w14:textId="4275B940" w:rsidR="007C12F4" w:rsidRPr="00A46407" w:rsidRDefault="000F2DC0" w:rsidP="00A46407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lastRenderedPageBreak/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532A1D9" w14:textId="760AB027" w:rsidR="000F2DC0" w:rsidRPr="004D5952" w:rsidRDefault="007C12F4" w:rsidP="007C12F4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odbiory zgodnie z decyzją Mazowieckiego Wojewódzkiego Konserwatora Zabytków odbywać się będą z udziałem wojewódzkiego konserwatora zabytków.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3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3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68031AE0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DD38658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121648E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4FBA4924" w14:textId="77777777" w:rsidR="00A46A19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F355425" w14:textId="77777777" w:rsidR="00A46A19" w:rsidRPr="0072382D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lastRenderedPageBreak/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2747AF6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r w:rsidR="00A46407" w:rsidRPr="00585DC1">
        <w:rPr>
          <w:rFonts w:ascii="Times New Roman" w:hAnsi="Times New Roman" w:cs="Times New Roman"/>
        </w:rPr>
        <w:t>między</w:t>
      </w:r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umowy, o której mowa w pkt 9 niniejszego paragrafu, przysługuje prawo do zgłoszenia w formie pisemnej sprzeciwu do umowy o podwykonawstwo, której przedmiotem są roboty budowlane, w przypadkach wskazanych w pkt 7 </w:t>
      </w:r>
      <w:r w:rsidRPr="00585DC1">
        <w:rPr>
          <w:rFonts w:ascii="Times New Roman" w:hAnsi="Times New Roman" w:cs="Times New Roman"/>
        </w:rPr>
        <w:lastRenderedPageBreak/>
        <w:t>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lastRenderedPageBreak/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 xml:space="preserve">w okresie podlegającym </w:t>
      </w:r>
      <w:r w:rsidR="00D95D70" w:rsidRPr="00932611">
        <w:rPr>
          <w:rFonts w:ascii="Times New Roman" w:hAnsi="Times New Roman" w:cs="Times New Roman"/>
          <w:spacing w:val="5"/>
        </w:rPr>
        <w:lastRenderedPageBreak/>
        <w:t>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lastRenderedPageBreak/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lastRenderedPageBreak/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4" w:name="_Hlk515218261"/>
      <w:r w:rsidRPr="003C63B4">
        <w:rPr>
          <w:rFonts w:ascii="Times New Roman" w:hAnsi="Times New Roman" w:cs="Times New Roman"/>
        </w:rPr>
        <w:lastRenderedPageBreak/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4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5C06" w14:textId="77777777" w:rsidR="00F449FD" w:rsidRDefault="00A46407">
    <w:pPr>
      <w:pStyle w:val="Stopka"/>
    </w:pPr>
    <w:r>
      <w:rPr>
        <w:noProof/>
        <w:lang w:eastAsia="zh-TW"/>
      </w:rPr>
      <w:pict w14:anchorId="71CCE06C"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 style="mso-next-textbox:#Rectangle 2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32B11BE1" w14:textId="705AF327" w:rsidR="00F449FD" w:rsidRDefault="00F449FD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A4640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711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 </w:t>
                      </w:r>
                    </w:p>
                  </w:sdtContent>
                </w:sdt>
                <w:p w14:paraId="4F876107" w14:textId="77777777" w:rsidR="00F449FD" w:rsidRDefault="00F449FD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 style="mso-next-textbox:#Rectangle 3">
              <w:txbxContent>
                <w:p w14:paraId="44F198B8" w14:textId="77777777" w:rsidR="00F449FD" w:rsidRDefault="00F449F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A72B1">
                    <w:fldChar w:fldCharType="begin"/>
                  </w:r>
                  <w:r>
                    <w:instrText xml:space="preserve"> PAGE   \* MERGEFORMAT </w:instrText>
                  </w:r>
                  <w:r w:rsidR="007A72B1">
                    <w:fldChar w:fldCharType="separate"/>
                  </w:r>
                  <w:r w:rsidR="00E0021C" w:rsidRPr="00E0021C">
                    <w:rPr>
                      <w:noProof/>
                      <w:color w:val="FFFFFF" w:themeColor="background1"/>
                    </w:rPr>
                    <w:t>7</w:t>
                  </w:r>
                  <w:r w:rsidR="007A72B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65CF" w14:textId="6DD32363" w:rsidR="00E131C8" w:rsidRDefault="00E131C8" w:rsidP="00E131C8">
    <w:pPr>
      <w:pStyle w:val="Nagwek"/>
      <w:jc w:val="right"/>
    </w:pPr>
    <w:r>
      <w:rPr>
        <w:noProof/>
      </w:rPr>
      <w:drawing>
        <wp:inline distT="0" distB="0" distL="0" distR="0" wp14:anchorId="58017C3B" wp14:editId="4C07D998">
          <wp:extent cx="1528434" cy="365760"/>
          <wp:effectExtent l="0" t="0" r="0" b="0"/>
          <wp:docPr id="1075291758" name="Obraz 1075291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46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634" cy="41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F11C7"/>
    <w:rsid w:val="009F63FA"/>
    <w:rsid w:val="009F74C8"/>
    <w:rsid w:val="00A00697"/>
    <w:rsid w:val="00A43EAE"/>
    <w:rsid w:val="00A46407"/>
    <w:rsid w:val="00A46A19"/>
    <w:rsid w:val="00A46EBD"/>
    <w:rsid w:val="00A615C8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87CBA"/>
    <w:rsid w:val="00FB3551"/>
    <w:rsid w:val="00FC5EA8"/>
    <w:rsid w:val="00FC79C4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B14236"/>
    <w:rsid w:val="00C042DF"/>
    <w:rsid w:val="00CA1891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WI.271.23.2023.KOI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10368</Words>
  <Characters>62214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Ice</cp:lastModifiedBy>
  <cp:revision>12</cp:revision>
  <cp:lastPrinted>2023-07-12T09:24:00Z</cp:lastPrinted>
  <dcterms:created xsi:type="dcterms:W3CDTF">2022-12-12T07:56:00Z</dcterms:created>
  <dcterms:modified xsi:type="dcterms:W3CDTF">2023-09-21T09:56:00Z</dcterms:modified>
</cp:coreProperties>
</file>