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672E3B">
        <w:rPr>
          <w:rFonts w:cs="Times New Roman"/>
          <w:b/>
          <w:lang w:eastAsia="en-US" w:bidi="ar-SA"/>
        </w:rPr>
        <w:t xml:space="preserve">e </w:t>
      </w:r>
      <w:r w:rsidR="004D3902">
        <w:rPr>
          <w:rFonts w:cs="Times New Roman"/>
          <w:b/>
          <w:lang w:eastAsia="en-US" w:bidi="ar-SA"/>
        </w:rPr>
        <w:t>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0A4BDC">
        <w:rPr>
          <w:rFonts w:cs="Times New Roman"/>
          <w:b/>
          <w:lang w:eastAsia="en-US" w:bidi="ar-SA"/>
        </w:rPr>
        <w:t>2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</w:t>
      </w:r>
      <w:r w:rsidR="000A4BDC">
        <w:rPr>
          <w:rFonts w:cs="Times New Roman"/>
          <w:lang w:eastAsia="en-US" w:bidi="ar-SA"/>
        </w:rPr>
        <w:t>2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0A4BDC">
        <w:rPr>
          <w:rFonts w:cs="Times New Roman"/>
          <w:lang w:eastAsia="en-US" w:bidi="ar-SA"/>
        </w:rPr>
        <w:t>21</w:t>
      </w:r>
      <w:r w:rsidR="00F05C48" w:rsidRPr="008407C3">
        <w:rPr>
          <w:rFonts w:cs="Times New Roman"/>
          <w:lang w:eastAsia="en-US" w:bidi="ar-SA"/>
        </w:rPr>
        <w:t xml:space="preserve"> r. poz.</w:t>
      </w:r>
      <w:r w:rsidR="000A4BDC">
        <w:rPr>
          <w:rFonts w:cs="Times New Roman"/>
          <w:lang w:eastAsia="en-US" w:bidi="ar-SA"/>
        </w:rPr>
        <w:t xml:space="preserve"> 1129</w:t>
      </w:r>
      <w:r>
        <w:rPr>
          <w:rFonts w:cs="Times New Roman"/>
          <w:lang w:eastAsia="en-US" w:bidi="ar-SA"/>
        </w:rPr>
        <w:t xml:space="preserve">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7F02FC">
        <w:rPr>
          <w:rFonts w:cs="Times New Roman"/>
          <w:b/>
          <w:i/>
        </w:rPr>
        <w:t xml:space="preserve"> </w:t>
      </w:r>
      <w:r w:rsidR="00672E3B">
        <w:rPr>
          <w:rFonts w:cs="Times New Roman"/>
          <w:b/>
          <w:bCs/>
          <w:i/>
        </w:rPr>
        <w:t xml:space="preserve">„Opracowanie dokumentacji projektowej przebudowy drogi gminnej nr 161654W                             w miejscowości Marianów (przedłużenie ulicy Zastacyjnej) w ramach zadania inwestycyjnego pn.: projekt budowy drogi w Marianowie.”- </w:t>
      </w:r>
      <w:r w:rsidR="00672E3B">
        <w:rPr>
          <w:rFonts w:cs="Times New Roman"/>
          <w:b/>
          <w:i/>
        </w:rPr>
        <w:t xml:space="preserve">część V </w:t>
      </w:r>
      <w:r w:rsidR="008C263E">
        <w:rPr>
          <w:rFonts w:cs="Times New Roman"/>
          <w:b/>
          <w:i/>
          <w:lang w:eastAsia="en-US" w:bidi="ar-SA"/>
        </w:rPr>
        <w:t>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>Przedmiotem zamówienia jest opracowanie dokumentacji projektowo - kosztorysowej.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(Dz. U. z 2020 r., poz. 1363).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>Orientacyjn</w:t>
      </w:r>
      <w:r w:rsidR="00672E3B">
        <w:rPr>
          <w:rFonts w:cs="Times New Roman"/>
          <w:lang w:eastAsia="en-US" w:bidi="pl-PL"/>
        </w:rPr>
        <w:t>y zakres stanowi Załącznik nr 8e</w:t>
      </w:r>
      <w:r w:rsidR="00736518">
        <w:rPr>
          <w:rFonts w:cs="Times New Roman"/>
          <w:lang w:eastAsia="en-US" w:bidi="pl-PL"/>
        </w:rPr>
        <w:t xml:space="preserve">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 xml:space="preserve">zobowiązany jest do sygnalizowania problemów wynikających z realizacji </w:t>
      </w:r>
      <w:r w:rsidRPr="00C2496D">
        <w:rPr>
          <w:rFonts w:eastAsia="Times New Roman" w:cs="Times New Roman"/>
          <w:lang w:bidi="pl-PL"/>
        </w:rPr>
        <w:lastRenderedPageBreak/>
        <w:t>zamówienia na każdym etapie oraz czynnie uczestniczyć w spotkaniach mających na celu 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>opraco</w:t>
      </w:r>
      <w:r w:rsidR="000A4BDC">
        <w:rPr>
          <w:rFonts w:eastAsia="Times New Roman" w:cs="Times New Roman"/>
          <w:lang w:bidi="pl-PL"/>
        </w:rPr>
        <w:t>wanie projektu podziału gruntów,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 xml:space="preserve">zaznaczeniem terenu niezbędnego dla obiektów budowlanych, oraz istniejące uzbrojenie </w:t>
      </w:r>
      <w:r w:rsidRPr="009D3B59">
        <w:rPr>
          <w:rFonts w:eastAsia="Times New Roman" w:cs="Times New Roman"/>
          <w:lang w:eastAsia="pl-PL" w:bidi="pl-PL"/>
        </w:rPr>
        <w:lastRenderedPageBreak/>
        <w:t>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</w:t>
      </w:r>
      <w:r w:rsidR="000A4BDC">
        <w:rPr>
          <w:rFonts w:eastAsia="Times New Roman" w:cs="Times New Roman"/>
          <w:lang w:bidi="pl-PL"/>
        </w:rPr>
        <w:t>1 roku, poz. 2351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1F4830" w:rsidRPr="006131D8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Default="006131D8" w:rsidP="006131D8">
      <w:pPr>
        <w:pStyle w:val="Standard"/>
        <w:spacing w:line="276" w:lineRule="auto"/>
        <w:jc w:val="both"/>
        <w:rPr>
          <w:lang w:eastAsia="en-US"/>
        </w:rPr>
      </w:pPr>
    </w:p>
    <w:p w:rsidR="006131D8" w:rsidRPr="008407C3" w:rsidRDefault="006131D8" w:rsidP="006131D8">
      <w:pPr>
        <w:pStyle w:val="Standard"/>
        <w:spacing w:line="276" w:lineRule="auto"/>
        <w:jc w:val="both"/>
        <w:rPr>
          <w:bCs/>
        </w:rPr>
      </w:pP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lastRenderedPageBreak/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>o budowlane (Dz. U. z 202</w:t>
      </w:r>
      <w:r w:rsidR="000A4BDC">
        <w:rPr>
          <w:rFonts w:eastAsia="Times New Roman" w:cs="Times New Roman"/>
          <w:lang w:bidi="pl-PL"/>
        </w:rPr>
        <w:t>1</w:t>
      </w:r>
      <w:r w:rsidR="00B90749">
        <w:rPr>
          <w:rFonts w:eastAsia="Times New Roman" w:cs="Times New Roman"/>
          <w:lang w:bidi="pl-PL"/>
        </w:rPr>
        <w:t xml:space="preserve"> roku, </w:t>
      </w:r>
      <w:r w:rsidR="000A4BDC">
        <w:rPr>
          <w:rFonts w:eastAsia="Times New Roman" w:cs="Times New Roman"/>
          <w:lang w:bidi="pl-PL"/>
        </w:rPr>
        <w:t>poz. 2351</w:t>
      </w:r>
      <w:r w:rsidR="00B90749" w:rsidRPr="00352FD1">
        <w:rPr>
          <w:rFonts w:eastAsia="Times New Roman" w:cs="Times New Roman"/>
          <w:lang w:bidi="pl-PL"/>
        </w:rPr>
        <w:t xml:space="preserve">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E54A3D" w:rsidRPr="00672E3B" w:rsidRDefault="00672E3B" w:rsidP="00672E3B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Przedmiot odbioru obejmuje </w:t>
      </w:r>
      <w:r w:rsidR="00352FD1" w:rsidRPr="00672E3B">
        <w:rPr>
          <w:rFonts w:eastAsia="Times New Roman" w:cs="Times New Roman"/>
        </w:rPr>
        <w:t>kompletną</w:t>
      </w:r>
      <w:r w:rsidR="00A25830" w:rsidRPr="00672E3B">
        <w:rPr>
          <w:rFonts w:eastAsia="Times New Roman" w:cs="Times New Roman"/>
          <w:b/>
        </w:rPr>
        <w:t xml:space="preserve"> </w:t>
      </w:r>
      <w:r w:rsidR="00352FD1" w:rsidRPr="00672E3B">
        <w:rPr>
          <w:rFonts w:eastAsia="Times New Roman" w:cs="Times New Roman"/>
        </w:rPr>
        <w:t>dokumentację</w:t>
      </w:r>
      <w:r w:rsidR="002E2F63" w:rsidRPr="00672E3B">
        <w:rPr>
          <w:rFonts w:eastAsia="Times New Roman" w:cs="Times New Roman"/>
        </w:rPr>
        <w:t xml:space="preserve"> projektow</w:t>
      </w:r>
      <w:r w:rsidR="00352FD1" w:rsidRPr="00672E3B">
        <w:rPr>
          <w:rFonts w:eastAsia="Times New Roman" w:cs="Times New Roman"/>
        </w:rPr>
        <w:t>ą</w:t>
      </w:r>
      <w:r w:rsidR="00A25830" w:rsidRPr="00672E3B">
        <w:rPr>
          <w:rFonts w:eastAsia="Times New Roman" w:cs="Times New Roman"/>
        </w:rPr>
        <w:t xml:space="preserve"> w ilości oraz rodzaju określonym w</w:t>
      </w:r>
      <w:r w:rsidR="008F5CD5" w:rsidRPr="00672E3B">
        <w:rPr>
          <w:rFonts w:eastAsia="Times New Roman" w:cs="Times New Roman"/>
        </w:rPr>
        <w:t xml:space="preserve"> </w:t>
      </w:r>
      <w:r w:rsidR="008F5CD5" w:rsidRPr="00672E3B">
        <w:rPr>
          <w:rFonts w:cs="Times New Roman"/>
          <w:lang w:eastAsia="en-US" w:bidi="ar-SA"/>
        </w:rPr>
        <w:t>§ 1</w:t>
      </w:r>
      <w:r w:rsidR="00A25830" w:rsidRPr="00672E3B">
        <w:rPr>
          <w:rFonts w:eastAsia="Times New Roman" w:cs="Times New Roman"/>
        </w:rPr>
        <w:t xml:space="preserve"> ust. 6 </w:t>
      </w:r>
      <w:r w:rsidR="00A25830" w:rsidRPr="00672E3B">
        <w:rPr>
          <w:rFonts w:cs="Times New Roman"/>
          <w:lang w:eastAsia="en-US" w:bidi="ar-SA"/>
        </w:rPr>
        <w:t>niniejszej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="000A4BDC">
        <w:rPr>
          <w:rFonts w:cs="Times New Roman"/>
          <w:szCs w:val="24"/>
          <w:lang w:eastAsia="en-US" w:bidi="ar-SA"/>
        </w:rPr>
        <w:t>za każdy dzień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</w:t>
      </w:r>
      <w:r w:rsidR="000A4BDC">
        <w:rPr>
          <w:rFonts w:cs="Times New Roman"/>
          <w:szCs w:val="24"/>
          <w:lang w:eastAsia="en-US" w:bidi="ar-SA"/>
        </w:rPr>
        <w:t xml:space="preserve"> zwłoki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lastRenderedPageBreak/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lastRenderedPageBreak/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lastRenderedPageBreak/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F0560A">
        <w:pPr>
          <w:pStyle w:val="Stopka"/>
          <w:jc w:val="right"/>
        </w:pPr>
        <w:fldSimple w:instr="PAGE   \* MERGEFORMAT">
          <w:r w:rsidR="00672E3B">
            <w:rPr>
              <w:noProof/>
            </w:rPr>
            <w:t>7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00ED6"/>
    <w:rsid w:val="00011700"/>
    <w:rsid w:val="00013CF3"/>
    <w:rsid w:val="00050EC8"/>
    <w:rsid w:val="00052111"/>
    <w:rsid w:val="0005677B"/>
    <w:rsid w:val="00075848"/>
    <w:rsid w:val="000850DD"/>
    <w:rsid w:val="00096D04"/>
    <w:rsid w:val="000A4BDC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A71FA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5D42B4"/>
    <w:rsid w:val="0060149E"/>
    <w:rsid w:val="0061202E"/>
    <w:rsid w:val="006131D8"/>
    <w:rsid w:val="0067072B"/>
    <w:rsid w:val="00672E3B"/>
    <w:rsid w:val="0068653A"/>
    <w:rsid w:val="0069051D"/>
    <w:rsid w:val="006C0487"/>
    <w:rsid w:val="00705094"/>
    <w:rsid w:val="00712F2B"/>
    <w:rsid w:val="00723446"/>
    <w:rsid w:val="00734793"/>
    <w:rsid w:val="00736518"/>
    <w:rsid w:val="00740F87"/>
    <w:rsid w:val="007570B4"/>
    <w:rsid w:val="007626F4"/>
    <w:rsid w:val="00780614"/>
    <w:rsid w:val="00780AD6"/>
    <w:rsid w:val="007A5174"/>
    <w:rsid w:val="007E0A71"/>
    <w:rsid w:val="007F02FC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D6ED6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04AE"/>
    <w:rsid w:val="00E13AE5"/>
    <w:rsid w:val="00E15548"/>
    <w:rsid w:val="00E213C6"/>
    <w:rsid w:val="00E23397"/>
    <w:rsid w:val="00E464C1"/>
    <w:rsid w:val="00E54A3D"/>
    <w:rsid w:val="00E6259D"/>
    <w:rsid w:val="00E6508E"/>
    <w:rsid w:val="00E70B95"/>
    <w:rsid w:val="00E84E6D"/>
    <w:rsid w:val="00E87142"/>
    <w:rsid w:val="00EC17E4"/>
    <w:rsid w:val="00EE670F"/>
    <w:rsid w:val="00F0560A"/>
    <w:rsid w:val="00F05C48"/>
    <w:rsid w:val="00F24AA8"/>
    <w:rsid w:val="00F6767C"/>
    <w:rsid w:val="00F80D47"/>
    <w:rsid w:val="00FB3039"/>
    <w:rsid w:val="00FC588A"/>
    <w:rsid w:val="00FE42E5"/>
    <w:rsid w:val="00FE7780"/>
    <w:rsid w:val="00FF22C2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ABBE1-B076-4DEA-948C-4E0EA8B5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4006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3</cp:revision>
  <cp:lastPrinted>2020-05-26T10:44:00Z</cp:lastPrinted>
  <dcterms:created xsi:type="dcterms:W3CDTF">2022-02-04T13:04:00Z</dcterms:created>
  <dcterms:modified xsi:type="dcterms:W3CDTF">2022-02-04T13:07:00Z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