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075C4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075C4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</w:t>
      </w:r>
      <w:r w:rsidR="00B26946"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075C4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075C4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-</w:t>
      </w:r>
      <w:r w:rsidR="000075C4">
        <w:rPr>
          <w:rFonts w:cs="Times New Roman"/>
          <w:lang w:eastAsia="en-US" w:bidi="ar-SA"/>
        </w:rPr>
        <w:t xml:space="preserve"> </w:t>
      </w:r>
      <w:r w:rsidR="000075C4" w:rsidRPr="000075C4">
        <w:rPr>
          <w:rFonts w:cs="Times New Roman"/>
          <w:b/>
          <w:i/>
          <w:lang w:eastAsia="en-US" w:bidi="ar-SA"/>
        </w:rPr>
        <w:t>„</w:t>
      </w:r>
      <w:r w:rsidR="000075C4">
        <w:rPr>
          <w:rFonts w:cs="Times New Roman"/>
          <w:b/>
          <w:i/>
          <w:lang w:eastAsia="en-US" w:bidi="ar-SA"/>
        </w:rPr>
        <w:t>Opracowania</w:t>
      </w:r>
      <w:r w:rsidR="000075C4" w:rsidRPr="000075C4">
        <w:rPr>
          <w:rFonts w:cs="Times New Roman"/>
          <w:b/>
          <w:i/>
          <w:lang w:eastAsia="en-US" w:bidi="ar-SA"/>
        </w:rPr>
        <w:t xml:space="preserve"> dokumentacji projektowo-kosztorysowej przebudowy  i modernizacji dróg na terenie Gminy Grójec w ramach otrzymanego dofinansowania z Rządowego Programu Polski Ład: Program Inwestycji Strategicznych”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075848" w:rsidRPr="008407C3" w:rsidRDefault="0094217D" w:rsidP="00B90749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Przedmiotem zamówienia jest wykonanie usługi</w:t>
      </w:r>
      <w:r w:rsidR="001406C6" w:rsidRPr="008407C3">
        <w:rPr>
          <w:rFonts w:cs="Times New Roman"/>
          <w:szCs w:val="24"/>
          <w:lang w:eastAsia="en-US" w:bidi="ar-SA"/>
        </w:rPr>
        <w:t xml:space="preserve"> polegającej na</w:t>
      </w:r>
      <w:r w:rsidR="00F05C48" w:rsidRPr="008407C3">
        <w:rPr>
          <w:rFonts w:cs="Times New Roman"/>
          <w:szCs w:val="24"/>
          <w:lang w:eastAsia="en-US" w:bidi="ar-SA"/>
        </w:rPr>
        <w:t xml:space="preserve"> </w:t>
      </w:r>
      <w:r w:rsidR="001406C6" w:rsidRPr="008407C3">
        <w:rPr>
          <w:rFonts w:cs="Times New Roman"/>
          <w:szCs w:val="24"/>
        </w:rPr>
        <w:t>opracowaniu</w:t>
      </w:r>
      <w:r w:rsidR="00C2496D">
        <w:rPr>
          <w:rFonts w:cs="Times New Roman"/>
          <w:szCs w:val="24"/>
        </w:rPr>
        <w:t xml:space="preserve"> dokume</w:t>
      </w:r>
      <w:r w:rsidR="000075C4">
        <w:rPr>
          <w:rFonts w:cs="Times New Roman"/>
          <w:szCs w:val="24"/>
        </w:rPr>
        <w:t>ntacji projektowo-kosztorysowych</w:t>
      </w:r>
      <w:r w:rsidR="000075C4">
        <w:rPr>
          <w:rFonts w:cs="Times New Roman"/>
          <w:szCs w:val="24"/>
          <w:lang w:eastAsia="en-US" w:bidi="ar-SA"/>
        </w:rPr>
        <w:t>, które posłużą</w:t>
      </w:r>
      <w:r w:rsidR="00F05C48" w:rsidRPr="008407C3">
        <w:rPr>
          <w:rFonts w:cs="Times New Roman"/>
          <w:szCs w:val="24"/>
          <w:lang w:eastAsia="en-US" w:bidi="ar-SA"/>
        </w:rPr>
        <w:t xml:space="preserve"> do opisu przedmiotu zamówienia w postępowaniu o udzielenie zamówienia publicznego na roboty budowlane oraz do realizacji robót budowlanych na jej podstawie.</w:t>
      </w:r>
    </w:p>
    <w:p w:rsidR="00A63859" w:rsidRDefault="00F05C48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8407C3">
        <w:rPr>
          <w:rFonts w:cs="Times New Roman"/>
          <w:szCs w:val="24"/>
          <w:lang w:eastAsia="en-US" w:bidi="ar-SA"/>
        </w:rPr>
        <w:t>Zakres pr</w:t>
      </w:r>
      <w:r w:rsidR="00B26946" w:rsidRPr="008407C3">
        <w:rPr>
          <w:rFonts w:cs="Times New Roman"/>
          <w:szCs w:val="24"/>
          <w:lang w:eastAsia="en-US" w:bidi="ar-SA"/>
        </w:rPr>
        <w:t xml:space="preserve">zedmiotowy </w:t>
      </w:r>
      <w:r w:rsidR="0094217D" w:rsidRPr="008407C3">
        <w:rPr>
          <w:rFonts w:cs="Times New Roman"/>
          <w:szCs w:val="24"/>
          <w:lang w:eastAsia="en-US" w:bidi="ar-SA"/>
        </w:rPr>
        <w:t>zamówienia</w:t>
      </w:r>
      <w:r w:rsidR="00C2496D">
        <w:rPr>
          <w:rFonts w:cs="Times New Roman"/>
          <w:szCs w:val="24"/>
          <w:lang w:eastAsia="en-US" w:bidi="ar-SA"/>
        </w:rPr>
        <w:t xml:space="preserve"> obejmuje</w:t>
      </w:r>
      <w:r w:rsidR="000075C4">
        <w:rPr>
          <w:rFonts w:eastAsia="Times New Roman" w:cs="Times New Roman"/>
          <w:lang w:bidi="pl-PL"/>
        </w:rPr>
        <w:t xml:space="preserve"> wykonanie </w:t>
      </w:r>
      <w:r w:rsidR="000075C4" w:rsidRPr="003713EF">
        <w:rPr>
          <w:rFonts w:eastAsia="Times New Roman" w:cs="Times New Roman"/>
          <w:bCs/>
          <w:lang w:bidi="pl-PL"/>
        </w:rPr>
        <w:t>1</w:t>
      </w:r>
      <w:r w:rsidR="000075C4">
        <w:rPr>
          <w:rFonts w:eastAsia="Times New Roman" w:cs="Times New Roman"/>
          <w:bCs/>
          <w:lang w:bidi="pl-PL"/>
        </w:rPr>
        <w:t>4</w:t>
      </w:r>
      <w:r w:rsidR="000075C4" w:rsidRPr="003713EF">
        <w:rPr>
          <w:rFonts w:eastAsia="Times New Roman" w:cs="Times New Roman"/>
          <w:bCs/>
          <w:lang w:bidi="pl-PL"/>
        </w:rPr>
        <w:t xml:space="preserve"> dokumen</w:t>
      </w:r>
      <w:r w:rsidR="000075C4">
        <w:rPr>
          <w:rFonts w:eastAsia="Times New Roman" w:cs="Times New Roman"/>
          <w:bCs/>
          <w:lang w:bidi="pl-PL"/>
        </w:rPr>
        <w:t>tacji projektowo – kosztorysowych</w:t>
      </w:r>
      <w:r w:rsidR="000075C4" w:rsidRPr="003713EF">
        <w:rPr>
          <w:rFonts w:eastAsia="Times New Roman" w:cs="Times New Roman"/>
          <w:bCs/>
          <w:lang w:bidi="pl-PL"/>
        </w:rPr>
        <w:t xml:space="preserve"> na remonty i przebudowy dróg położonych na terenie Gminy Grójec </w:t>
      </w:r>
      <w:proofErr w:type="spellStart"/>
      <w:r w:rsidR="000075C4" w:rsidRPr="003713EF">
        <w:rPr>
          <w:rFonts w:eastAsia="Times New Roman" w:cs="Times New Roman"/>
          <w:bCs/>
          <w:lang w:bidi="pl-PL"/>
        </w:rPr>
        <w:t>wg</w:t>
      </w:r>
      <w:proofErr w:type="spellEnd"/>
      <w:r w:rsidR="000075C4" w:rsidRPr="003713EF">
        <w:rPr>
          <w:rFonts w:eastAsia="Times New Roman" w:cs="Times New Roman"/>
          <w:bCs/>
          <w:lang w:bidi="pl-PL"/>
        </w:rPr>
        <w:t>.</w:t>
      </w:r>
      <w:r w:rsidR="000075C4">
        <w:rPr>
          <w:rFonts w:eastAsia="Times New Roman" w:cs="Times New Roman"/>
          <w:bCs/>
          <w:lang w:bidi="pl-PL"/>
        </w:rPr>
        <w:t xml:space="preserve"> Zestawienia zawartego w Części III Specyfikacji Warunków Zamówienia</w:t>
      </w:r>
      <w:r w:rsidR="00052111">
        <w:rPr>
          <w:rFonts w:eastAsia="Times New Roman" w:cs="Times New Roman"/>
          <w:lang w:eastAsia="pl-PL" w:bidi="pl-PL"/>
        </w:rPr>
        <w:t>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D639C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lastRenderedPageBreak/>
        <w:t>Wykonawca</w:t>
      </w:r>
      <w:r w:rsidRPr="00C2496D">
        <w:rPr>
          <w:rFonts w:eastAsia="Times New Roman" w:cs="Times New Roman"/>
          <w:lang w:bidi="pl-PL"/>
        </w:rPr>
        <w:tab/>
        <w:t>zobowiązany jest do sygnalizowania problemów wynikających z realizacji zamówienia na każdym etapie oraz czynnie uczestniczyć w spotkaniach mających na celu rozwiązywaniu powstałych trudności.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0075C4" w:rsidRDefault="000075C4" w:rsidP="00BD639C">
      <w:pPr>
        <w:pStyle w:val="Akapitzlist"/>
        <w:autoSpaceDE w:val="0"/>
        <w:adjustRightInd w:val="0"/>
        <w:spacing w:line="276" w:lineRule="auto"/>
        <w:ind w:left="567" w:firstLine="141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</w:t>
      </w:r>
      <w:r>
        <w:rPr>
          <w:rFonts w:eastAsia="Times New Roman" w:cs="Times New Roman"/>
          <w:lang w:bidi="pl-PL"/>
        </w:rPr>
        <w:t>zacji przedmiotu zamówienia, wykonanie pomiaru sytuacyjno-wysokościowego</w:t>
      </w:r>
    </w:p>
    <w:p w:rsidR="000075C4" w:rsidRDefault="000075C4" w:rsidP="00BD639C">
      <w:pPr>
        <w:pStyle w:val="Akapitzlist"/>
        <w:autoSpaceDE w:val="0"/>
        <w:adjustRightInd w:val="0"/>
        <w:spacing w:line="276" w:lineRule="auto"/>
        <w:ind w:left="567" w:firstLine="141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0075C4" w:rsidRDefault="000075C4" w:rsidP="00BD639C">
      <w:pPr>
        <w:pStyle w:val="Akapitzlist"/>
        <w:autoSpaceDE w:val="0"/>
        <w:adjustRightInd w:val="0"/>
        <w:spacing w:line="276" w:lineRule="auto"/>
        <w:ind w:left="567" w:firstLine="141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</w:t>
      </w:r>
      <w:r>
        <w:rPr>
          <w:rFonts w:eastAsia="Times New Roman" w:cs="Times New Roman"/>
          <w:lang w:bidi="pl-PL"/>
        </w:rPr>
        <w:t>rawnego o ile będzie konieczne),</w:t>
      </w:r>
    </w:p>
    <w:p w:rsidR="000075C4" w:rsidRDefault="000075C4" w:rsidP="00BD639C">
      <w:pPr>
        <w:pStyle w:val="Akapitzlist"/>
        <w:autoSpaceDE w:val="0"/>
        <w:adjustRightInd w:val="0"/>
        <w:spacing w:line="276" w:lineRule="auto"/>
        <w:ind w:left="567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0075C4" w:rsidRDefault="000075C4" w:rsidP="00BD639C">
      <w:pPr>
        <w:pStyle w:val="Akapitzlist"/>
        <w:autoSpaceDE w:val="0"/>
        <w:adjustRightInd w:val="0"/>
        <w:spacing w:line="276" w:lineRule="auto"/>
        <w:ind w:left="567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0075C4" w:rsidRDefault="000075C4" w:rsidP="00BD639C">
      <w:pPr>
        <w:pStyle w:val="Akapitzlist"/>
        <w:autoSpaceDE w:val="0"/>
        <w:adjustRightInd w:val="0"/>
        <w:spacing w:line="276" w:lineRule="auto"/>
        <w:ind w:left="567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0075C4" w:rsidRDefault="000075C4" w:rsidP="00BD639C">
      <w:pPr>
        <w:pStyle w:val="Akapitzlist"/>
        <w:autoSpaceDE w:val="0"/>
        <w:adjustRightInd w:val="0"/>
        <w:spacing w:line="276" w:lineRule="auto"/>
        <w:ind w:left="567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0075C4" w:rsidRDefault="000075C4" w:rsidP="00BD639C">
      <w:pPr>
        <w:pStyle w:val="Akapitzlist"/>
        <w:autoSpaceDE w:val="0"/>
        <w:adjustRightInd w:val="0"/>
        <w:spacing w:line="276" w:lineRule="auto"/>
        <w:ind w:left="567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 xml:space="preserve">opracowanie i uzyskanie wszystkich innych materiałów (wraz z wnioskiem) niezbędnych do złożenia wniosku o wydanie </w:t>
      </w:r>
      <w:r>
        <w:rPr>
          <w:rFonts w:eastAsia="Times New Roman" w:cs="Times New Roman"/>
          <w:lang w:bidi="pl-PL"/>
        </w:rPr>
        <w:t xml:space="preserve">pozwolenia na budowę, zgłoszenia wykonania robót budowlanych, </w:t>
      </w:r>
    </w:p>
    <w:p w:rsidR="000075C4" w:rsidRDefault="000075C4" w:rsidP="00BD639C">
      <w:pPr>
        <w:autoSpaceDE w:val="0"/>
        <w:adjustRightInd w:val="0"/>
        <w:spacing w:line="276" w:lineRule="auto"/>
        <w:ind w:left="567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i)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0075C4" w:rsidRDefault="000075C4" w:rsidP="00BD639C">
      <w:pPr>
        <w:autoSpaceDE w:val="0"/>
        <w:adjustRightInd w:val="0"/>
        <w:spacing w:line="276" w:lineRule="auto"/>
        <w:ind w:left="567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0075C4" w:rsidRDefault="000075C4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ind w:left="567" w:hanging="284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Polskimi Normami ora</w:t>
      </w:r>
      <w:r>
        <w:rPr>
          <w:rFonts w:eastAsia="Times New Roman" w:cs="Times New Roman"/>
          <w:lang w:bidi="pl-PL"/>
        </w:rPr>
        <w:t xml:space="preserve">z zasadami wiedzy technicznej. </w:t>
      </w:r>
    </w:p>
    <w:p w:rsidR="000075C4" w:rsidRPr="00512725" w:rsidRDefault="000075C4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ind w:left="567" w:hanging="284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lastRenderedPageBreak/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rozwiąz</w:t>
      </w:r>
      <w:r w:rsidRPr="00D747D1">
        <w:rPr>
          <w:rFonts w:eastAsia="Times New Roman" w:cs="Times New Roman"/>
          <w:lang w:bidi="pl-PL"/>
        </w:rPr>
        <w:t>a</w:t>
      </w:r>
      <w:r w:rsidRPr="00D747D1">
        <w:rPr>
          <w:rFonts w:eastAsia="Times New Roman" w:cs="Times New Roman"/>
          <w:lang w:bidi="pl-PL"/>
        </w:rPr>
        <w:t xml:space="preserve">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D639C">
        <w:t xml:space="preserve">                   2</w:t>
      </w:r>
      <w:r w:rsidR="00B90749">
        <w:t xml:space="preserve"> miesięcy od dnia podpisania umowy </w:t>
      </w:r>
      <w:r w:rsidR="00106D46" w:rsidRPr="008407C3">
        <w:t>w tym:</w:t>
      </w:r>
    </w:p>
    <w:p w:rsidR="001F4830" w:rsidRPr="008407C3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lastRenderedPageBreak/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D639C" w:rsidRPr="00BD639C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D639C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 w:rsidRPr="00BD639C">
        <w:rPr>
          <w:rFonts w:cs="Times New Roman"/>
          <w:szCs w:val="24"/>
          <w:lang w:eastAsia="en-US" w:bidi="ar-SA"/>
        </w:rPr>
        <w:t>uzyskanie pozwolenia na realizację inwestycji drogowej</w:t>
      </w:r>
      <w:r w:rsidRPr="00BD639C">
        <w:rPr>
          <w:rFonts w:cs="Times New Roman"/>
          <w:szCs w:val="24"/>
          <w:lang w:eastAsia="en-US" w:bidi="ar-SA"/>
        </w:rPr>
        <w:t>, opis</w:t>
      </w:r>
      <w:r w:rsidR="004E3DAD" w:rsidRPr="00BD639C">
        <w:rPr>
          <w:rFonts w:cs="Times New Roman"/>
          <w:szCs w:val="24"/>
          <w:lang w:eastAsia="en-US" w:bidi="ar-SA"/>
        </w:rPr>
        <w:t>u</w:t>
      </w:r>
      <w:r w:rsidRPr="00BD639C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BD639C">
        <w:rPr>
          <w:rFonts w:cs="Times New Roman"/>
          <w:szCs w:val="24"/>
          <w:lang w:eastAsia="en-US" w:bidi="ar-SA"/>
        </w:rPr>
        <w:t xml:space="preserve"> </w:t>
      </w:r>
      <w:r w:rsidR="00F24AA8" w:rsidRPr="00BD639C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 w:rsidRPr="00BD639C">
        <w:rPr>
          <w:rFonts w:eastAsia="Times New Roman" w:cs="Times New Roman"/>
          <w:bCs/>
          <w:iCs/>
          <w:szCs w:val="24"/>
        </w:rPr>
        <w:t>musi być opracowana w oparciu o</w:t>
      </w:r>
      <w:r w:rsidR="00B90749" w:rsidRPr="00BD639C">
        <w:rPr>
          <w:rFonts w:eastAsia="Times New Roman" w:cs="Times New Roman"/>
          <w:lang w:bidi="pl-PL"/>
        </w:rPr>
        <w:t xml:space="preserve"> ustalenia z Zamawiającym, wymaganiami ustaw, przepisami i obowiązującymi Polskimi Normami oraz zasadami wiedzy technicznej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Wykonanie wszelkich poprawek, uzupełnień, modyfikacji  w dokumentacji, których wykonanie będzie niezbędne dla uzyskania stosownych pozwoleń, a okoliczności te </w:t>
      </w:r>
      <w:r w:rsidRPr="008407C3">
        <w:rPr>
          <w:rFonts w:cs="Times New Roman"/>
          <w:szCs w:val="24"/>
          <w:lang w:eastAsia="en-US" w:bidi="ar-SA"/>
        </w:rPr>
        <w:lastRenderedPageBreak/>
        <w:t>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 xml:space="preserve">czenie, o </w:t>
      </w:r>
      <w:r w:rsidR="008C0201">
        <w:rPr>
          <w:rFonts w:cs="Times New Roman"/>
          <w:szCs w:val="24"/>
          <w:lang w:eastAsia="en-US" w:bidi="ar-SA"/>
        </w:rPr>
        <w:lastRenderedPageBreak/>
        <w:t>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BD639C" w:rsidRDefault="00BD639C" w:rsidP="00BD639C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Przedmiot odbioru obejmuje</w:t>
      </w:r>
      <w:r w:rsidR="00851FD8" w:rsidRPr="00BD639C">
        <w:rPr>
          <w:rFonts w:eastAsia="Times New Roman" w:cs="Times New Roman"/>
          <w:b/>
        </w:rPr>
        <w:t xml:space="preserve"> </w:t>
      </w:r>
      <w:r w:rsidR="00352FD1" w:rsidRPr="00BD639C">
        <w:rPr>
          <w:rFonts w:eastAsia="Times New Roman" w:cs="Times New Roman"/>
        </w:rPr>
        <w:t>kompletną</w:t>
      </w:r>
      <w:r w:rsidR="00A25830" w:rsidRPr="00BD639C">
        <w:rPr>
          <w:rFonts w:eastAsia="Times New Roman" w:cs="Times New Roman"/>
          <w:b/>
        </w:rPr>
        <w:t xml:space="preserve"> </w:t>
      </w:r>
      <w:r w:rsidR="00352FD1" w:rsidRPr="00BD639C">
        <w:rPr>
          <w:rFonts w:eastAsia="Times New Roman" w:cs="Times New Roman"/>
        </w:rPr>
        <w:t>dokumentację</w:t>
      </w:r>
      <w:r w:rsidR="002E2F63" w:rsidRPr="00BD639C">
        <w:rPr>
          <w:rFonts w:eastAsia="Times New Roman" w:cs="Times New Roman"/>
        </w:rPr>
        <w:t xml:space="preserve"> projektow</w:t>
      </w:r>
      <w:r w:rsidR="00352FD1" w:rsidRPr="00BD639C">
        <w:rPr>
          <w:rFonts w:eastAsia="Times New Roman" w:cs="Times New Roman"/>
        </w:rPr>
        <w:t>ą</w:t>
      </w:r>
      <w:r w:rsidR="00A25830" w:rsidRPr="00BD639C">
        <w:rPr>
          <w:rFonts w:eastAsia="Times New Roman" w:cs="Times New Roman"/>
        </w:rPr>
        <w:t xml:space="preserve"> w ilości oraz rodzaju określonym w</w:t>
      </w:r>
      <w:r w:rsidR="008F5CD5" w:rsidRPr="00BD639C">
        <w:rPr>
          <w:rFonts w:eastAsia="Times New Roman" w:cs="Times New Roman"/>
        </w:rPr>
        <w:t xml:space="preserve"> </w:t>
      </w:r>
      <w:r w:rsidR="008F5CD5" w:rsidRPr="00BD639C">
        <w:rPr>
          <w:rFonts w:cs="Times New Roman"/>
          <w:lang w:eastAsia="en-US" w:bidi="ar-SA"/>
        </w:rPr>
        <w:t>§ 1</w:t>
      </w:r>
      <w:r w:rsidR="00A25830" w:rsidRPr="00BD639C">
        <w:rPr>
          <w:rFonts w:eastAsia="Times New Roman" w:cs="Times New Roman"/>
        </w:rPr>
        <w:t xml:space="preserve"> ust. 6 </w:t>
      </w:r>
      <w:r w:rsidR="00A25830" w:rsidRPr="00BD639C">
        <w:rPr>
          <w:rFonts w:cs="Times New Roman"/>
          <w:lang w:eastAsia="en-US" w:bidi="ar-SA"/>
        </w:rPr>
        <w:t>niniejszej umowy</w:t>
      </w:r>
      <w:r>
        <w:rPr>
          <w:rFonts w:cs="Times New Roman"/>
          <w:lang w:eastAsia="en-US" w:bidi="ar-SA"/>
        </w:rPr>
        <w:t>.</w:t>
      </w:r>
    </w:p>
    <w:p w:rsidR="00075848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9468CB" w:rsidRPr="009468CB" w:rsidRDefault="009468CB" w:rsidP="009468CB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lastRenderedPageBreak/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lastRenderedPageBreak/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0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0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C4" w:rsidRDefault="000075C4">
      <w:r>
        <w:separator/>
      </w:r>
    </w:p>
  </w:endnote>
  <w:endnote w:type="continuationSeparator" w:id="0">
    <w:p w:rsidR="000075C4" w:rsidRDefault="00007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0075C4" w:rsidRDefault="00962E40">
        <w:pPr>
          <w:pStyle w:val="Stopka"/>
          <w:jc w:val="right"/>
        </w:pPr>
        <w:fldSimple w:instr="PAGE   \* MERGEFORMAT">
          <w:r w:rsidR="009468CB">
            <w:rPr>
              <w:noProof/>
            </w:rPr>
            <w:t>9</w:t>
          </w:r>
        </w:fldSimple>
      </w:p>
    </w:sdtContent>
  </w:sdt>
  <w:p w:rsidR="000075C4" w:rsidRDefault="000075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C4" w:rsidRDefault="000075C4">
      <w:r>
        <w:rPr>
          <w:color w:val="000000"/>
        </w:rPr>
        <w:separator/>
      </w:r>
    </w:p>
  </w:footnote>
  <w:footnote w:type="continuationSeparator" w:id="0">
    <w:p w:rsidR="000075C4" w:rsidRDefault="00007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C4" w:rsidRDefault="000075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6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DF1F4F"/>
    <w:multiLevelType w:val="hybridMultilevel"/>
    <w:tmpl w:val="9F8C540E"/>
    <w:lvl w:ilvl="0" w:tplc="F918D0B6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A934651"/>
    <w:multiLevelType w:val="hybridMultilevel"/>
    <w:tmpl w:val="AFBEC34C"/>
    <w:lvl w:ilvl="0" w:tplc="835CD03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5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6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6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36"/>
  </w:num>
  <w:num w:numId="4">
    <w:abstractNumId w:val="10"/>
  </w:num>
  <w:num w:numId="5">
    <w:abstractNumId w:val="40"/>
  </w:num>
  <w:num w:numId="6">
    <w:abstractNumId w:val="24"/>
  </w:num>
  <w:num w:numId="7">
    <w:abstractNumId w:val="33"/>
  </w:num>
  <w:num w:numId="8">
    <w:abstractNumId w:val="29"/>
  </w:num>
  <w:num w:numId="9">
    <w:abstractNumId w:val="31"/>
  </w:num>
  <w:num w:numId="10">
    <w:abstractNumId w:val="8"/>
  </w:num>
  <w:num w:numId="11">
    <w:abstractNumId w:val="12"/>
  </w:num>
  <w:num w:numId="12">
    <w:abstractNumId w:val="15"/>
  </w:num>
  <w:num w:numId="13">
    <w:abstractNumId w:val="34"/>
  </w:num>
  <w:num w:numId="14">
    <w:abstractNumId w:val="45"/>
  </w:num>
  <w:num w:numId="15">
    <w:abstractNumId w:val="21"/>
  </w:num>
  <w:num w:numId="16">
    <w:abstractNumId w:val="30"/>
  </w:num>
  <w:num w:numId="17">
    <w:abstractNumId w:val="42"/>
  </w:num>
  <w:num w:numId="18">
    <w:abstractNumId w:val="39"/>
  </w:num>
  <w:num w:numId="19">
    <w:abstractNumId w:val="14"/>
  </w:num>
  <w:num w:numId="20">
    <w:abstractNumId w:val="35"/>
  </w:num>
  <w:num w:numId="21">
    <w:abstractNumId w:val="27"/>
  </w:num>
  <w:num w:numId="22">
    <w:abstractNumId w:val="11"/>
  </w:num>
  <w:num w:numId="23">
    <w:abstractNumId w:val="32"/>
  </w:num>
  <w:num w:numId="24">
    <w:abstractNumId w:val="44"/>
  </w:num>
  <w:num w:numId="25">
    <w:abstractNumId w:val="41"/>
  </w:num>
  <w:num w:numId="26">
    <w:abstractNumId w:val="46"/>
  </w:num>
  <w:num w:numId="27">
    <w:abstractNumId w:val="16"/>
  </w:num>
  <w:num w:numId="28">
    <w:abstractNumId w:val="48"/>
  </w:num>
  <w:num w:numId="29">
    <w:abstractNumId w:val="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3"/>
  </w:num>
  <w:num w:numId="36">
    <w:abstractNumId w:val="17"/>
  </w:num>
  <w:num w:numId="37">
    <w:abstractNumId w:val="19"/>
  </w:num>
  <w:num w:numId="38">
    <w:abstractNumId w:val="23"/>
  </w:num>
  <w:num w:numId="39">
    <w:abstractNumId w:val="43"/>
  </w:num>
  <w:num w:numId="40">
    <w:abstractNumId w:val="47"/>
  </w:num>
  <w:num w:numId="41">
    <w:abstractNumId w:val="28"/>
  </w:num>
  <w:num w:numId="42">
    <w:abstractNumId w:val="2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075C4"/>
    <w:rsid w:val="00011700"/>
    <w:rsid w:val="00013CF3"/>
    <w:rsid w:val="00050EC8"/>
    <w:rsid w:val="00052111"/>
    <w:rsid w:val="00075848"/>
    <w:rsid w:val="000850DD"/>
    <w:rsid w:val="00096D04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216708"/>
    <w:rsid w:val="0023553E"/>
    <w:rsid w:val="00240FF8"/>
    <w:rsid w:val="002453D5"/>
    <w:rsid w:val="002612CC"/>
    <w:rsid w:val="002900D8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5DE9"/>
    <w:rsid w:val="00561819"/>
    <w:rsid w:val="00570539"/>
    <w:rsid w:val="00571EE1"/>
    <w:rsid w:val="005A4DE7"/>
    <w:rsid w:val="005A67ED"/>
    <w:rsid w:val="0060149E"/>
    <w:rsid w:val="0061202E"/>
    <w:rsid w:val="00667424"/>
    <w:rsid w:val="0067072B"/>
    <w:rsid w:val="0068653A"/>
    <w:rsid w:val="0069051D"/>
    <w:rsid w:val="006C0487"/>
    <w:rsid w:val="00705094"/>
    <w:rsid w:val="00712F2B"/>
    <w:rsid w:val="00734793"/>
    <w:rsid w:val="00740F87"/>
    <w:rsid w:val="007570B4"/>
    <w:rsid w:val="007626F4"/>
    <w:rsid w:val="00780614"/>
    <w:rsid w:val="00780AD6"/>
    <w:rsid w:val="007A5174"/>
    <w:rsid w:val="007E0A71"/>
    <w:rsid w:val="008407C3"/>
    <w:rsid w:val="00850405"/>
    <w:rsid w:val="00851FD8"/>
    <w:rsid w:val="0086456E"/>
    <w:rsid w:val="008B0BB5"/>
    <w:rsid w:val="008C0201"/>
    <w:rsid w:val="008D07E5"/>
    <w:rsid w:val="008F5CD5"/>
    <w:rsid w:val="00914638"/>
    <w:rsid w:val="00914C8D"/>
    <w:rsid w:val="0094217D"/>
    <w:rsid w:val="009468CB"/>
    <w:rsid w:val="00962E40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D639C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3AE5"/>
    <w:rsid w:val="00E15548"/>
    <w:rsid w:val="00E20084"/>
    <w:rsid w:val="00E23397"/>
    <w:rsid w:val="00E464C1"/>
    <w:rsid w:val="00E54A3D"/>
    <w:rsid w:val="00E6259D"/>
    <w:rsid w:val="00E70B95"/>
    <w:rsid w:val="00E84E6D"/>
    <w:rsid w:val="00E87142"/>
    <w:rsid w:val="00EC17E4"/>
    <w:rsid w:val="00EE670F"/>
    <w:rsid w:val="00F05C48"/>
    <w:rsid w:val="00F24AA8"/>
    <w:rsid w:val="00F6767C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104B7-8453-49F5-8D91-DC09DEAB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10</Pages>
  <Words>3770</Words>
  <Characters>22625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40</cp:revision>
  <cp:lastPrinted>2020-05-26T10:44:00Z</cp:lastPrinted>
  <dcterms:created xsi:type="dcterms:W3CDTF">2019-04-18T05:41:00Z</dcterms:created>
  <dcterms:modified xsi:type="dcterms:W3CDTF">2022-01-13T10:14:00Z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