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</w:t>
      </w:r>
      <w:r w:rsidR="002D27C1">
        <w:rPr>
          <w:b/>
          <w:sz w:val="22"/>
          <w:szCs w:val="22"/>
        </w:rPr>
        <w:t>WZ</w:t>
      </w:r>
    </w:p>
    <w:p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J.Piłsudskiego 47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ogłoszenie, w postępowaniu o udzielenie zamówienia publicznego na usługi społeczne pn: „</w:t>
      </w:r>
      <w:r>
        <w:rPr>
          <w:rFonts w:eastAsia="Arial"/>
          <w:b/>
          <w:i/>
          <w:color w:val="000000"/>
          <w:sz w:val="22"/>
          <w:szCs w:val="22"/>
        </w:rPr>
        <w:t xml:space="preserve">Świadczenie usług pocztowych </w:t>
      </w:r>
      <w:r w:rsidR="00607BE7">
        <w:rPr>
          <w:rFonts w:eastAsia="Arial"/>
          <w:b/>
          <w:i/>
          <w:color w:val="000000"/>
          <w:sz w:val="22"/>
          <w:szCs w:val="22"/>
        </w:rPr>
        <w:t xml:space="preserve">oraz kurierskich </w:t>
      </w:r>
      <w:r>
        <w:rPr>
          <w:rFonts w:eastAsia="Arial"/>
          <w:b/>
          <w:i/>
          <w:color w:val="000000"/>
          <w:sz w:val="22"/>
          <w:szCs w:val="22"/>
        </w:rPr>
        <w:t>w obrocie krajowym i zagranicznym na rzecz Gminy Grójec w okres</w:t>
      </w:r>
      <w:r w:rsidR="00AF3B30">
        <w:rPr>
          <w:rFonts w:eastAsia="Arial"/>
          <w:b/>
          <w:i/>
          <w:color w:val="000000"/>
          <w:sz w:val="22"/>
          <w:szCs w:val="22"/>
        </w:rPr>
        <w:t>ie od 1.01.202</w:t>
      </w:r>
      <w:r w:rsidR="0063277E">
        <w:rPr>
          <w:rFonts w:eastAsia="Arial"/>
          <w:b/>
          <w:i/>
          <w:color w:val="000000"/>
          <w:sz w:val="22"/>
          <w:szCs w:val="22"/>
        </w:rPr>
        <w:t>2</w:t>
      </w:r>
      <w:r w:rsidR="00AF3B30">
        <w:rPr>
          <w:rFonts w:eastAsia="Arial"/>
          <w:b/>
          <w:i/>
          <w:color w:val="000000"/>
          <w:sz w:val="22"/>
          <w:szCs w:val="22"/>
        </w:rPr>
        <w:t xml:space="preserve"> r. do 31.12.202</w:t>
      </w:r>
      <w:r w:rsidR="0063277E">
        <w:rPr>
          <w:rFonts w:eastAsia="Arial"/>
          <w:b/>
          <w:i/>
          <w:color w:val="000000"/>
          <w:sz w:val="22"/>
          <w:szCs w:val="22"/>
        </w:rPr>
        <w:t>2</w:t>
      </w:r>
      <w:r>
        <w:rPr>
          <w:rFonts w:eastAsia="Arial"/>
          <w:b/>
          <w:i/>
          <w:color w:val="000000"/>
          <w:sz w:val="22"/>
          <w:szCs w:val="22"/>
        </w:rPr>
        <w:t xml:space="preserve"> r..</w:t>
      </w:r>
      <w:r>
        <w:rPr>
          <w:rFonts w:eastAsia="Arial"/>
          <w:b/>
          <w:i/>
          <w:sz w:val="22"/>
          <w:szCs w:val="22"/>
        </w:rPr>
        <w:t>”</w:t>
      </w:r>
      <w:r>
        <w:rPr>
          <w:b/>
          <w:sz w:val="22"/>
          <w:szCs w:val="22"/>
        </w:rPr>
        <w:t>, znak sprawy</w:t>
      </w:r>
      <w:r w:rsidR="007266B6">
        <w:rPr>
          <w:b/>
          <w:smallCaps/>
          <w:sz w:val="22"/>
          <w:szCs w:val="22"/>
        </w:rPr>
        <w:t>: WI.271.39</w:t>
      </w:r>
      <w:r w:rsidR="00D96E6D">
        <w:rPr>
          <w:b/>
          <w:smallCaps/>
          <w:sz w:val="22"/>
          <w:szCs w:val="22"/>
        </w:rPr>
        <w:t>.202</w:t>
      </w:r>
      <w:r w:rsidR="0063277E">
        <w:rPr>
          <w:b/>
          <w:smallCaps/>
          <w:sz w:val="22"/>
          <w:szCs w:val="22"/>
        </w:rPr>
        <w:t>1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>
        <w:rPr>
          <w:color w:val="000000" w:themeColor="text1"/>
          <w:sz w:val="22"/>
          <w:szCs w:val="22"/>
        </w:rPr>
        <w:t>…….. %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Liczba  placówek pocztowych na terytorium Polski ………………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SWZ).</w:t>
      </w:r>
    </w:p>
    <w:p w:rsidR="002D27C1" w:rsidRDefault="002D27C1" w:rsidP="002D27C1">
      <w:pPr>
        <w:pStyle w:val="Tekstpodstawowy22"/>
        <w:spacing w:before="60"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Liczba  placówek pocztowych na terytorium Polski  przystosowanych dla osób niepełnosprawnych ………………. 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</w:t>
      </w:r>
      <w:r w:rsidR="0063277E">
        <w:rPr>
          <w:i/>
          <w:sz w:val="20"/>
          <w:szCs w:val="20"/>
        </w:rPr>
        <w:t>nki i ich usytuowanie oraz  w S</w:t>
      </w:r>
      <w:r>
        <w:rPr>
          <w:i/>
          <w:sz w:val="20"/>
          <w:szCs w:val="20"/>
        </w:rPr>
        <w:t>WZ)</w:t>
      </w:r>
      <w:r>
        <w:rPr>
          <w:i/>
          <w:sz w:val="22"/>
          <w:szCs w:val="22"/>
        </w:rPr>
        <w:t>.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946DBA" w:rsidRPr="00946DBA" w:rsidRDefault="00946DBA" w:rsidP="00A241BF">
      <w:pPr>
        <w:widowControl w:val="0"/>
        <w:rPr>
          <w:rFonts w:eastAsia="DejaVu Sans"/>
          <w:color w:val="000000"/>
          <w:lang w:bidi="pl-PL"/>
        </w:rPr>
      </w:pPr>
    </w:p>
    <w:p w:rsidR="00946DBA" w:rsidRPr="00946DBA" w:rsidRDefault="00946DBA" w:rsidP="00946DBA">
      <w:pPr>
        <w:widowControl w:val="0"/>
        <w:jc w:val="center"/>
        <w:rPr>
          <w:rFonts w:eastAsia="DejaVu Sans"/>
          <w:color w:val="000000"/>
          <w:lang w:bidi="pl-PL"/>
        </w:rPr>
      </w:pPr>
      <w:r w:rsidRPr="00946DBA">
        <w:rPr>
          <w:rFonts w:eastAsia="DejaVu Sans"/>
          <w:b/>
          <w:color w:val="000000"/>
          <w:lang w:bidi="pl-PL"/>
        </w:rPr>
        <w:t xml:space="preserve">FORMULARZ CENOWY </w:t>
      </w:r>
    </w:p>
    <w:tbl>
      <w:tblPr>
        <w:tblStyle w:val="Tabela-Siatka1"/>
        <w:tblW w:w="9464" w:type="dxa"/>
        <w:tblLook w:val="04A0"/>
      </w:tblPr>
      <w:tblGrid>
        <w:gridCol w:w="4928"/>
        <w:gridCol w:w="1559"/>
        <w:gridCol w:w="1559"/>
        <w:gridCol w:w="1418"/>
      </w:tblGrid>
      <w:tr w:rsidR="00946DBA" w:rsidRPr="00946DBA" w:rsidTr="00946D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Rodzaj przesyłek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Orientacyjna ilość przesyłek nadawanych w przeciągu             12 </w:t>
            </w:r>
            <w:proofErr w:type="spellStart"/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m-cy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Cena jednostkowa brutto za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Wartość brutto</w:t>
            </w: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 xml:space="preserve">32 726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29 216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poleconej ekonomicznej krajowej Format S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 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D96E6D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1 538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</w:t>
            </w:r>
            <w:r>
              <w:rPr>
                <w:rFonts w:eastAsia="Calibri"/>
                <w:b/>
                <w:sz w:val="18"/>
                <w:szCs w:val="18"/>
                <w:lang w:bidi="pl-PL"/>
              </w:rPr>
              <w:t>j ekonomicznej krajowej Format M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zwrot do 10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>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337BD7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63277E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Zwrot przesyłki polecone</w:t>
            </w:r>
            <w:r>
              <w:rPr>
                <w:rFonts w:eastAsia="Calibri"/>
                <w:b/>
                <w:sz w:val="18"/>
                <w:szCs w:val="18"/>
                <w:lang w:bidi="pl-PL"/>
              </w:rPr>
              <w:t>j ekonomicznej krajowej Format L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sz w:val="18"/>
                <w:szCs w:val="18"/>
                <w:lang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zwrot do 20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>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A241BF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D96E6D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zwrot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usługa:  potwierdzenie</w:t>
            </w:r>
            <w:r w:rsidRPr="00946DBA">
              <w:rPr>
                <w:rFonts w:eastAsia="Calibri"/>
                <w:sz w:val="18"/>
                <w:szCs w:val="18"/>
                <w:lang w:bidi="pl-PL"/>
              </w:rPr>
              <w:t xml:space="preserve"> odbioru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A241BF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BF" w:rsidRPr="00946DBA" w:rsidRDefault="00A241BF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7" w:rsidRDefault="00337BD7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337BD7" w:rsidRDefault="00337BD7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ekonomiczne (EK)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nierejestrowane (zwykłe)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 polecone priorytetowe (PR) krajowe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337BD7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A241BF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ekonomiczne (EK)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A241BF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A241BF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S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A241BF" w:rsidP="00D96E6D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A241BF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M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listowe  z zadeklarowaną wartością priorytetowe (PR) Format L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2000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ekonomiczne (EK)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lastRenderedPageBreak/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ekonomiczne (EK)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A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Paczki pocztowe priorytetowe  (PR)  krajowe Gabaryt B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 xml:space="preserve">ponad 1 kg do 2 kg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priorytetowe (PR) zagraniczne strefa A</w:t>
            </w:r>
          </w:p>
          <w:p w:rsidR="00946DBA" w:rsidRPr="00946DBA" w:rsidRDefault="00946DBA" w:rsidP="00946DBA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 xml:space="preserve"> (Europa, Cypr, Rosja, Izrael)</w:t>
            </w:r>
          </w:p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100g  do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350 g  do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F67E0E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500 g  do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412E25" w:rsidP="00946DBA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Przesyłki polecone priory</w:t>
            </w:r>
            <w:r>
              <w:rPr>
                <w:rFonts w:eastAsia="Calibri"/>
                <w:b/>
                <w:bCs/>
                <w:sz w:val="18"/>
                <w:szCs w:val="18"/>
                <w:lang w:bidi="pl-PL"/>
              </w:rPr>
              <w:t>tetowe (PR) zagraniczne strefa B</w:t>
            </w:r>
          </w:p>
          <w:p w:rsidR="00D96E6D" w:rsidRPr="00946DBA" w:rsidRDefault="00D96E6D" w:rsidP="00CB1B52">
            <w:pPr>
              <w:widowControl w:val="0"/>
              <w:rPr>
                <w:rFonts w:eastAsia="Calibri"/>
                <w:b/>
                <w:bCs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 xml:space="preserve"> (</w:t>
            </w:r>
            <w:r>
              <w:rPr>
                <w:rFonts w:eastAsia="Calibri"/>
                <w:b/>
                <w:bCs/>
                <w:sz w:val="18"/>
                <w:szCs w:val="18"/>
                <w:lang w:bidi="pl-PL"/>
              </w:rPr>
              <w:t>Ameryka Północna, Afryka</w:t>
            </w:r>
            <w:r w:rsidRPr="00946DBA">
              <w:rPr>
                <w:rFonts w:eastAsia="Calibri"/>
                <w:b/>
                <w:bCs/>
                <w:sz w:val="18"/>
                <w:szCs w:val="18"/>
                <w:lang w:bidi="pl-PL"/>
              </w:rPr>
              <w:t>)</w:t>
            </w:r>
          </w:p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do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F67E0E" w:rsidP="00A241BF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 g do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F67E0E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100g  do 350g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F67E0E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350 g  do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F67E0E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DejaVu Sans"/>
                <w:sz w:val="18"/>
                <w:szCs w:val="18"/>
                <w:lang w:eastAsia="en-US" w:bidi="pl-PL"/>
              </w:rPr>
              <w:t>ponad 500 g  do 1000g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412E25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D96E6D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  <w:r w:rsidRPr="00946DBA">
              <w:rPr>
                <w:rFonts w:eastAsia="Calibri"/>
                <w:sz w:val="18"/>
                <w:szCs w:val="18"/>
                <w:lang w:bidi="pl-PL"/>
              </w:rPr>
              <w:t>usługa: potwierdzenie odbioru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F67E0E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D" w:rsidRPr="00946DBA" w:rsidRDefault="00D96E6D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F67E0E" w:rsidRPr="00946DBA" w:rsidTr="00CB1B5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  <w:p w:rsid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  <w:r w:rsidRPr="00F67E0E">
              <w:rPr>
                <w:rFonts w:eastAsia="DejaVu Sans"/>
                <w:b/>
                <w:sz w:val="18"/>
                <w:szCs w:val="18"/>
                <w:lang w:eastAsia="en-US" w:bidi="pl-PL"/>
              </w:rPr>
              <w:t>Usługi kurierskie</w:t>
            </w:r>
          </w:p>
          <w:p w:rsidR="00F67E0E" w:rsidRPr="00F67E0E" w:rsidRDefault="00F67E0E" w:rsidP="00CB1B52">
            <w:pPr>
              <w:widowControl w:val="0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</w:tr>
      <w:tr w:rsidR="00CB1B52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Default="001167A0" w:rsidP="001167A0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do 1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 kg </w:t>
            </w:r>
            <w:r>
              <w:rPr>
                <w:rFonts w:eastAsia="Calibri"/>
                <w:sz w:val="18"/>
                <w:szCs w:val="18"/>
                <w:lang w:bidi="pl-PL"/>
              </w:rPr>
              <w:t xml:space="preserve">– opakowanie firmowe 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(Ekspres 24 </w:t>
            </w:r>
            <w:r>
              <w:rPr>
                <w:rFonts w:eastAsia="Calibri"/>
                <w:sz w:val="18"/>
                <w:szCs w:val="18"/>
                <w:lang w:bidi="pl-PL"/>
              </w:rPr>
              <w:t>z usługą „doręczenia na wskazaną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 xml:space="preserve">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 w:rsidR="00CB1B52"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Default="00541168" w:rsidP="00CB1B52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Pr="00946DBA" w:rsidRDefault="00CB1B52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2" w:rsidRPr="00946DBA" w:rsidRDefault="00CB1B52" w:rsidP="00CB1B52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1167A0" w:rsidRPr="00946DBA" w:rsidTr="00CB1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337BD7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do 5 kg (Ekspres 24 z usługą „doręczenia na wskazaną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337BD7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1167A0" w:rsidRPr="00946DBA" w:rsidTr="00337BD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337BD7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  <w:r>
              <w:rPr>
                <w:rFonts w:eastAsia="Calibri"/>
                <w:sz w:val="18"/>
                <w:szCs w:val="18"/>
                <w:lang w:bidi="pl-PL"/>
              </w:rPr>
              <w:t>Przesyłka powyżej 5 kg do 10 kg (Ekspres 24 z usługą „doręczenia na wskazana godzinę”</w:t>
            </w:r>
            <w:r w:rsidR="00C875E5">
              <w:rPr>
                <w:rFonts w:eastAsia="Calibri"/>
                <w:sz w:val="18"/>
                <w:szCs w:val="18"/>
                <w:lang w:bidi="pl-PL"/>
              </w:rPr>
              <w:t xml:space="preserve"> oraz usługą „potwierdzenia odbioru”</w:t>
            </w:r>
            <w:r>
              <w:rPr>
                <w:rFonts w:eastAsia="Calibri"/>
                <w:sz w:val="18"/>
                <w:szCs w:val="18"/>
                <w:lang w:bidi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Default="001167A0" w:rsidP="001167A0">
            <w:pPr>
              <w:widowControl w:val="0"/>
              <w:jc w:val="center"/>
              <w:rPr>
                <w:rFonts w:eastAsia="DejaVu Sans"/>
                <w:sz w:val="18"/>
                <w:szCs w:val="18"/>
                <w:lang w:eastAsia="en-US" w:bidi="pl-PL"/>
              </w:rPr>
            </w:pPr>
            <w:r>
              <w:rPr>
                <w:rFonts w:eastAsia="DejaVu Sans"/>
                <w:sz w:val="18"/>
                <w:szCs w:val="18"/>
                <w:lang w:eastAsia="en-US" w:bidi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0" w:rsidRPr="00946DBA" w:rsidRDefault="001167A0" w:rsidP="00337BD7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  <w:tr w:rsidR="00946DBA" w:rsidRPr="00946DBA" w:rsidTr="00CB1B52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Calibri"/>
                <w:sz w:val="18"/>
                <w:szCs w:val="18"/>
                <w:lang w:bidi="pl-PL"/>
              </w:rPr>
            </w:pP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bidi="pl-PL"/>
              </w:rPr>
            </w:pPr>
            <w:r w:rsidRPr="00946DBA">
              <w:rPr>
                <w:rFonts w:eastAsia="Calibri"/>
                <w:b/>
                <w:sz w:val="18"/>
                <w:szCs w:val="18"/>
                <w:lang w:bidi="pl-PL"/>
              </w:rPr>
              <w:t>RAZEM BRUTTO:</w:t>
            </w:r>
          </w:p>
          <w:p w:rsidR="00946DBA" w:rsidRPr="00946DBA" w:rsidRDefault="00946DBA" w:rsidP="00946DBA">
            <w:pPr>
              <w:widowControl w:val="0"/>
              <w:jc w:val="center"/>
              <w:rPr>
                <w:rFonts w:eastAsia="DejaVu Sans"/>
                <w:b/>
                <w:sz w:val="18"/>
                <w:szCs w:val="18"/>
                <w:lang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A" w:rsidRPr="00946DBA" w:rsidRDefault="00946DBA" w:rsidP="00946DBA">
            <w:pPr>
              <w:widowControl w:val="0"/>
              <w:rPr>
                <w:rFonts w:eastAsia="DejaVu Sans"/>
                <w:sz w:val="18"/>
                <w:szCs w:val="18"/>
                <w:lang w:eastAsia="en-US" w:bidi="pl-PL"/>
              </w:rPr>
            </w:pPr>
          </w:p>
        </w:tc>
      </w:tr>
    </w:tbl>
    <w:p w:rsidR="002D27C1" w:rsidRDefault="002D27C1" w:rsidP="002D27C1">
      <w:pPr>
        <w:spacing w:line="360" w:lineRule="auto"/>
        <w:jc w:val="both"/>
        <w:rPr>
          <w:i/>
          <w:sz w:val="22"/>
          <w:szCs w:val="22"/>
        </w:rPr>
      </w:pP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lastRenderedPageBreak/>
        <w:t>Termin realizacji zamówienia</w:t>
      </w:r>
      <w:r w:rsidR="00BC0940" w:rsidRPr="002A14F7">
        <w:rPr>
          <w:sz w:val="22"/>
          <w:szCs w:val="22"/>
        </w:rPr>
        <w:t>:</w:t>
      </w:r>
      <w:r w:rsidRPr="002A14F7">
        <w:rPr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od 1 stycznia 2022</w:t>
      </w:r>
      <w:r w:rsidRPr="002A14F7">
        <w:rPr>
          <w:b/>
          <w:sz w:val="22"/>
          <w:szCs w:val="22"/>
        </w:rPr>
        <w:t xml:space="preserve"> </w:t>
      </w:r>
      <w:r w:rsidR="00412E25" w:rsidRPr="002A14F7">
        <w:rPr>
          <w:b/>
          <w:sz w:val="22"/>
          <w:szCs w:val="22"/>
        </w:rPr>
        <w:t>r. do 31 grudnia 2022</w:t>
      </w:r>
      <w:r w:rsidRPr="002A14F7">
        <w:rPr>
          <w:b/>
          <w:sz w:val="22"/>
          <w:szCs w:val="22"/>
        </w:rPr>
        <w:t xml:space="preserve"> r.</w:t>
      </w:r>
      <w:r w:rsidRPr="002A14F7">
        <w:rPr>
          <w:sz w:val="22"/>
          <w:szCs w:val="22"/>
        </w:rPr>
        <w:t xml:space="preserve"> </w:t>
      </w: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t xml:space="preserve">Wynagrodzenie za przedmiot umowy płatne będzie przelewem </w:t>
      </w:r>
      <w:r w:rsidR="00431E20" w:rsidRPr="002A14F7">
        <w:rPr>
          <w:sz w:val="22"/>
          <w:szCs w:val="22"/>
        </w:rPr>
        <w:t xml:space="preserve">w terminie 21 dni od daty wystawienia przez Wykonawcę  prawidłowej </w:t>
      </w:r>
      <w:r w:rsidRPr="002A14F7">
        <w:rPr>
          <w:sz w:val="22"/>
          <w:szCs w:val="22"/>
        </w:rPr>
        <w:t xml:space="preserve">faktury </w:t>
      </w:r>
      <w:r w:rsidR="00431E20" w:rsidRPr="002A14F7">
        <w:rPr>
          <w:sz w:val="22"/>
          <w:szCs w:val="22"/>
        </w:rPr>
        <w:t xml:space="preserve"> oraz dostarczonej Zamawiającemu</w:t>
      </w:r>
      <w:r w:rsidRPr="002A14F7">
        <w:rPr>
          <w:sz w:val="22"/>
          <w:szCs w:val="22"/>
        </w:rPr>
        <w:t xml:space="preserve">. </w:t>
      </w:r>
    </w:p>
    <w:p w:rsidR="002D27C1" w:rsidRPr="002A14F7" w:rsidRDefault="002D27C1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 w:rsidRPr="002A14F7">
        <w:rPr>
          <w:b w:val="0"/>
          <w:sz w:val="22"/>
          <w:szCs w:val="22"/>
        </w:rPr>
        <w:t xml:space="preserve">Oświadczamy, że zamierzamy powierzyć </w:t>
      </w:r>
      <w:r w:rsidRPr="002A14F7">
        <w:rPr>
          <w:b w:val="0"/>
          <w:sz w:val="22"/>
          <w:szCs w:val="22"/>
          <w:u w:val="single"/>
        </w:rPr>
        <w:t>wymienionym niżej podwykonawcom</w:t>
      </w:r>
      <w:r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>y lokalizacji placówek  pocztowych</w:t>
      </w:r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>deklarowane placówki przystosowane dla osób niepełnosprawnych, 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2D27C1" w:rsidRPr="007266B6" w:rsidRDefault="002D27C1" w:rsidP="007266B6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20" w:line="360" w:lineRule="auto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wezwanie Zamawiającego zobowiązujemy się złożyć:</w:t>
      </w:r>
    </w:p>
    <w:p w:rsidR="007266B6" w:rsidRPr="007266B6" w:rsidRDefault="007266B6" w:rsidP="007266B6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jc w:val="both"/>
        <w:rPr>
          <w:sz w:val="22"/>
          <w:szCs w:val="22"/>
        </w:rPr>
      </w:pPr>
      <w:r w:rsidRPr="007266B6">
        <w:rPr>
          <w:sz w:val="22"/>
          <w:szCs w:val="22"/>
        </w:rPr>
        <w:t>aktualne zaświadczenie o wpisie podmiotu do rejestru operatorów pocztowych zgodnie z art. 6 ust. 1 ustawy z dnia 23 listopada 2012 r. Prawo Pocztowe (Dz. U. z 2020 r. poz. 1041 ze zm.), prowadzonego przez Prezesa Urzędu Komunikacji Elektronicznej  - na potwierdzenie warunku określonego w Części V pkt 2 ppkt 2 SWZ;</w:t>
      </w:r>
    </w:p>
    <w:p w:rsidR="007266B6" w:rsidRDefault="007266B6" w:rsidP="007266B6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jc w:val="both"/>
        <w:rPr>
          <w:sz w:val="22"/>
          <w:szCs w:val="22"/>
        </w:rPr>
      </w:pPr>
      <w:r w:rsidRPr="007266B6">
        <w:rPr>
          <w:sz w:val="22"/>
          <w:szCs w:val="22"/>
        </w:rPr>
        <w:t xml:space="preserve">wykaz usług polegających na </w:t>
      </w:r>
      <w:r w:rsidRPr="007266B6">
        <w:rPr>
          <w:sz w:val="22"/>
          <w:szCs w:val="22"/>
          <w:lang w:bidi="pl-PL"/>
        </w:rPr>
        <w:t>świadczeniu usług pocztowych o wartości zrealizowanej nie mniejszej niż 100.000,00</w:t>
      </w:r>
      <w:r w:rsidRPr="007266B6">
        <w:rPr>
          <w:bCs/>
          <w:sz w:val="22"/>
          <w:szCs w:val="22"/>
        </w:rPr>
        <w:t>, sporządzony zgodnie z wzorem stanowiącym Załącznik nr 4 do SWZ</w:t>
      </w:r>
      <w:r w:rsidRPr="007266B6">
        <w:rPr>
          <w:sz w:val="22"/>
          <w:szCs w:val="22"/>
        </w:rPr>
        <w:t xml:space="preserve"> – na potwierdzenie spełniania warunku okreś</w:t>
      </w:r>
      <w:r>
        <w:rPr>
          <w:sz w:val="22"/>
          <w:szCs w:val="22"/>
        </w:rPr>
        <w:t>lonego w Części V pkt 2 ppkt 4;</w:t>
      </w:r>
    </w:p>
    <w:p w:rsidR="007266B6" w:rsidRPr="007266B6" w:rsidRDefault="007266B6" w:rsidP="007266B6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7266B6">
        <w:rPr>
          <w:sz w:val="22"/>
          <w:szCs w:val="22"/>
        </w:rPr>
        <w:lastRenderedPageBreak/>
        <w:t>odpis lub informacja z Krajowego Rejestru Sądowego lub Centralnej Ewidencji i Informacji o Działalności Gospodarczej, jeżeli odrębne przepisy wymagają wpisu do rejestru lub ewidencji – w celu potwierdzenia braku podstaw wykluczenia na podstawie art. 109 ust. 1 pkt. 4 ustawy Pzp, sporządzonych nie wcześniej niż 3 miesiące przed jej złożeniem;</w:t>
      </w:r>
    </w:p>
    <w:p w:rsidR="007266B6" w:rsidRPr="007266B6" w:rsidRDefault="007266B6" w:rsidP="007266B6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informację</w:t>
      </w:r>
      <w:r w:rsidRPr="007266B6">
        <w:rPr>
          <w:bCs/>
          <w:sz w:val="22"/>
          <w:szCs w:val="22"/>
        </w:rPr>
        <w:t xml:space="preserve"> z Krajowego Rejestru Karnego w zakresie określonym w art. 108 ust. 1 pkt 1 i 2 ustawy Pzp oraz w zakresie określonym w art. 108 ust. 1 pkt 4 ustawy Pzp dotyczącej orzeczenia zakazu ubiegania się o zamówienie publiczne tytułem środka karnego, wystawionej nie wcześniej niż 6 miesięcy przed  jej złożeniem;</w:t>
      </w:r>
    </w:p>
    <w:p w:rsidR="007266B6" w:rsidRPr="007266B6" w:rsidRDefault="007266B6" w:rsidP="007266B6">
      <w:pPr>
        <w:numPr>
          <w:ilvl w:val="0"/>
          <w:numId w:val="39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7266B6">
        <w:rPr>
          <w:bCs/>
          <w:sz w:val="22"/>
          <w:szCs w:val="22"/>
        </w:rPr>
        <w:t>oświadczenie Wykonawcy, w zakresie art. 108 ust. 1 pkt 5 ustawy Pzp, o braku przynależności do tej samej grupy kapitałowej w rozumieniu ustawy z dnia 16 lutego 2007 r. o ochronie konkurencji i konsumentów (Dz. U. z 2020 r. poz. 1076 i 1086), z innym Wykonawcą, który złożył odrębną ofertę, albo oświadczenia o przynależności do tej samej grupy kapitałowej wraz z dokumentami lub informacjami potwierdzającymi przygotowanie oferty niezależnie od innego wykonawcy należącego do tej samej grupy</w:t>
      </w:r>
      <w:r w:rsidRPr="007266B6">
        <w:rPr>
          <w:sz w:val="22"/>
          <w:szCs w:val="22"/>
        </w:rPr>
        <w:t xml:space="preserve"> kapitałowej, zgodnie ze w</w:t>
      </w:r>
      <w:r w:rsidR="00DA23D7">
        <w:rPr>
          <w:sz w:val="22"/>
          <w:szCs w:val="22"/>
        </w:rPr>
        <w:t>zorem stanowiącym załącznik nr 3</w:t>
      </w:r>
      <w:r w:rsidRPr="007266B6">
        <w:rPr>
          <w:sz w:val="22"/>
          <w:szCs w:val="22"/>
        </w:rPr>
        <w:t xml:space="preserve"> do SWZ.</w:t>
      </w:r>
    </w:p>
    <w:p w:rsidR="007266B6" w:rsidRPr="00BC0940" w:rsidRDefault="007266B6" w:rsidP="007266B6">
      <w:pPr>
        <w:tabs>
          <w:tab w:val="left" w:pos="993"/>
        </w:tabs>
        <w:suppressAutoHyphens/>
        <w:spacing w:line="360" w:lineRule="auto"/>
        <w:ind w:left="786"/>
        <w:jc w:val="both"/>
        <w:rPr>
          <w:bCs/>
          <w:sz w:val="22"/>
          <w:szCs w:val="22"/>
        </w:rPr>
      </w:pPr>
    </w:p>
    <w:p w:rsidR="002D27C1" w:rsidRDefault="002D27C1" w:rsidP="00BC0940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:rsidR="002D27C1" w:rsidRDefault="002D27C1" w:rsidP="00BC0940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266B6">
        <w:rPr>
          <w:sz w:val="22"/>
          <w:szCs w:val="22"/>
          <w:u w:val="single"/>
        </w:rPr>
        <w:t>Przedstawienia Zamawiającemu w terminie 5 dni od dnia otrzymania zawiadomienia o wyborze najkorzystniejszej oferty projektu umowy uwzględniającego wszystkie istotne postanowienia i warunki stawiane przez Zamawiającego celem akceptacji</w:t>
      </w:r>
      <w:r>
        <w:rPr>
          <w:sz w:val="22"/>
          <w:szCs w:val="22"/>
        </w:rPr>
        <w:t xml:space="preserve">. </w:t>
      </w:r>
    </w:p>
    <w:p w:rsidR="002D27C1" w:rsidRDefault="002D27C1" w:rsidP="00BC094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 od upływu terminu składania ofert</w:t>
      </w:r>
      <w:r w:rsidR="007266B6">
        <w:rPr>
          <w:b w:val="0"/>
          <w:sz w:val="22"/>
          <w:szCs w:val="22"/>
        </w:rPr>
        <w:t xml:space="preserve"> tj. do dnia 17.11.2021 r.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</w:tr>
    </w:tbl>
    <w:p w:rsidR="006A2449" w:rsidRDefault="006A2449" w:rsidP="006A2449">
      <w:pPr>
        <w:rPr>
          <w:sz w:val="20"/>
          <w:szCs w:val="20"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43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:rsidR="006A2449" w:rsidRDefault="006A2449" w:rsidP="006A2449">
      <w:pPr>
        <w:rPr>
          <w:rFonts w:ascii="Arial" w:hAnsi="Arial" w:cs="Arial"/>
          <w:sz w:val="20"/>
          <w:szCs w:val="20"/>
        </w:rPr>
      </w:pPr>
    </w:p>
    <w:p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6A2449" w:rsidRDefault="006A2449" w:rsidP="006A2449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Pr="002D27C1" w:rsidRDefault="006A2449">
      <w:pPr>
        <w:jc w:val="both"/>
        <w:rPr>
          <w:szCs w:val="22"/>
        </w:rPr>
      </w:pP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F7" w:rsidRDefault="002A14F7" w:rsidP="00654320">
      <w:r>
        <w:separator/>
      </w:r>
    </w:p>
  </w:endnote>
  <w:endnote w:type="continuationSeparator" w:id="0">
    <w:p w:rsidR="002A14F7" w:rsidRDefault="002A14F7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2A14F7" w:rsidRDefault="0041517A">
        <w:pPr>
          <w:pStyle w:val="Stopka"/>
          <w:jc w:val="right"/>
        </w:pPr>
        <w:fldSimple w:instr=" PAGE   \* MERGEFORMAT ">
          <w:r w:rsidR="00DA23D7">
            <w:rPr>
              <w:noProof/>
            </w:rPr>
            <w:t>7</w:t>
          </w:r>
        </w:fldSimple>
      </w:p>
    </w:sdtContent>
  </w:sdt>
  <w:p w:rsidR="002A14F7" w:rsidRDefault="002A14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F7" w:rsidRDefault="002A14F7" w:rsidP="00654320">
      <w:r>
        <w:separator/>
      </w:r>
    </w:p>
  </w:footnote>
  <w:footnote w:type="continuationSeparator" w:id="0">
    <w:p w:rsidR="002A14F7" w:rsidRDefault="002A14F7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3"/>
  </w:num>
  <w:num w:numId="6">
    <w:abstractNumId w:val="3"/>
  </w:num>
  <w:num w:numId="7">
    <w:abstractNumId w:val="18"/>
  </w:num>
  <w:num w:numId="8">
    <w:abstractNumId w:val="9"/>
  </w:num>
  <w:num w:numId="9">
    <w:abstractNumId w:val="27"/>
  </w:num>
  <w:num w:numId="10">
    <w:abstractNumId w:val="20"/>
  </w:num>
  <w:num w:numId="11">
    <w:abstractNumId w:val="8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6"/>
  </w:num>
  <w:num w:numId="17">
    <w:abstractNumId w:val="10"/>
  </w:num>
  <w:num w:numId="18">
    <w:abstractNumId w:val="22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5AFD"/>
    <w:rsid w:val="00084D03"/>
    <w:rsid w:val="00102A84"/>
    <w:rsid w:val="00103EE5"/>
    <w:rsid w:val="001118A1"/>
    <w:rsid w:val="001167A0"/>
    <w:rsid w:val="001471BA"/>
    <w:rsid w:val="0014763C"/>
    <w:rsid w:val="00151F0A"/>
    <w:rsid w:val="00153987"/>
    <w:rsid w:val="0016087D"/>
    <w:rsid w:val="001800BE"/>
    <w:rsid w:val="001D1CBB"/>
    <w:rsid w:val="001D50B0"/>
    <w:rsid w:val="001F6BFD"/>
    <w:rsid w:val="001F6ED4"/>
    <w:rsid w:val="001F7E4C"/>
    <w:rsid w:val="00211AA7"/>
    <w:rsid w:val="00225700"/>
    <w:rsid w:val="002377E8"/>
    <w:rsid w:val="002479F0"/>
    <w:rsid w:val="00247CF9"/>
    <w:rsid w:val="002A14F7"/>
    <w:rsid w:val="002D27C1"/>
    <w:rsid w:val="002D464C"/>
    <w:rsid w:val="00302B55"/>
    <w:rsid w:val="00337BD7"/>
    <w:rsid w:val="00360A24"/>
    <w:rsid w:val="0036382C"/>
    <w:rsid w:val="003737D7"/>
    <w:rsid w:val="003C1FE7"/>
    <w:rsid w:val="003C5879"/>
    <w:rsid w:val="003F76F4"/>
    <w:rsid w:val="00412E25"/>
    <w:rsid w:val="0041517A"/>
    <w:rsid w:val="00415E79"/>
    <w:rsid w:val="00420900"/>
    <w:rsid w:val="00431E20"/>
    <w:rsid w:val="0047097D"/>
    <w:rsid w:val="0047459F"/>
    <w:rsid w:val="004A18BD"/>
    <w:rsid w:val="004A501B"/>
    <w:rsid w:val="00514467"/>
    <w:rsid w:val="00541168"/>
    <w:rsid w:val="00551AF7"/>
    <w:rsid w:val="0056791E"/>
    <w:rsid w:val="005D26A4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94C37"/>
    <w:rsid w:val="007C148E"/>
    <w:rsid w:val="007D705D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463F"/>
    <w:rsid w:val="009B6C78"/>
    <w:rsid w:val="00A22C7C"/>
    <w:rsid w:val="00A241BF"/>
    <w:rsid w:val="00A50069"/>
    <w:rsid w:val="00A8367D"/>
    <w:rsid w:val="00A90FFA"/>
    <w:rsid w:val="00AF3B30"/>
    <w:rsid w:val="00B25F53"/>
    <w:rsid w:val="00B70C2B"/>
    <w:rsid w:val="00B82D32"/>
    <w:rsid w:val="00B86CC2"/>
    <w:rsid w:val="00BB488B"/>
    <w:rsid w:val="00BC0940"/>
    <w:rsid w:val="00BE3AC6"/>
    <w:rsid w:val="00C03C68"/>
    <w:rsid w:val="00C22069"/>
    <w:rsid w:val="00C2341E"/>
    <w:rsid w:val="00C875E5"/>
    <w:rsid w:val="00CB1B52"/>
    <w:rsid w:val="00CB741E"/>
    <w:rsid w:val="00CF0B53"/>
    <w:rsid w:val="00D06CC0"/>
    <w:rsid w:val="00D24EF7"/>
    <w:rsid w:val="00D462C2"/>
    <w:rsid w:val="00D56165"/>
    <w:rsid w:val="00D96E6D"/>
    <w:rsid w:val="00DA23D7"/>
    <w:rsid w:val="00DF1D88"/>
    <w:rsid w:val="00E4194B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2011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35</cp:revision>
  <cp:lastPrinted>2020-11-18T13:22:00Z</cp:lastPrinted>
  <dcterms:created xsi:type="dcterms:W3CDTF">2019-10-09T08:08:00Z</dcterms:created>
  <dcterms:modified xsi:type="dcterms:W3CDTF">2021-10-05T08:49:00Z</dcterms:modified>
</cp:coreProperties>
</file>