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3AA2"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color w:val="000000"/>
          <w:sz w:val="20"/>
          <w:szCs w:val="20"/>
        </w:rPr>
      </w:pPr>
      <w:r w:rsidRPr="0008355C">
        <w:rPr>
          <w:rFonts w:ascii="Times New Roman" w:hAnsi="Times New Roman" w:cs="Times New Roman"/>
          <w:color w:val="000000"/>
          <w:sz w:val="20"/>
          <w:szCs w:val="20"/>
        </w:rPr>
        <w:t>zał. Nr 3 do uchwały Nr XLV/.../22</w:t>
      </w:r>
    </w:p>
    <w:p w14:paraId="07562E80"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Objaśnienia przyjętych wartości</w:t>
      </w:r>
    </w:p>
    <w:p w14:paraId="1042893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396DCF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Obowiązek opracowania wieloletniej prognozy finansowej jednostki samorządu terytorialnego</w:t>
      </w:r>
      <w:r w:rsidRPr="0008355C">
        <w:rPr>
          <w:rFonts w:ascii="Times New Roman" w:hAnsi="Times New Roman" w:cs="Times New Roman"/>
          <w:b/>
          <w:bCs/>
          <w:color w:val="000000"/>
          <w:sz w:val="20"/>
          <w:szCs w:val="20"/>
        </w:rPr>
        <w:t xml:space="preserve"> </w:t>
      </w:r>
      <w:r w:rsidRPr="0008355C">
        <w:rPr>
          <w:rFonts w:ascii="Times New Roman" w:hAnsi="Times New Roman" w:cs="Times New Roman"/>
          <w:color w:val="000000"/>
          <w:sz w:val="20"/>
          <w:szCs w:val="20"/>
        </w:rPr>
        <w:t>wynika z zapisów ustawy z dnia 27 sierpnia 2009 r. o finansach publicznych. Uchwałę w sprawie przyjęcia WPF rada gminy podejmuje nie później niż uchwałę budżetową. Uchwałę sporządza się na okres</w:t>
      </w:r>
      <w:r w:rsidRPr="0008355C">
        <w:rPr>
          <w:rFonts w:ascii="Times New Roman" w:hAnsi="Times New Roman" w:cs="Times New Roman"/>
          <w:b/>
          <w:bCs/>
          <w:color w:val="000000"/>
          <w:sz w:val="20"/>
          <w:szCs w:val="20"/>
        </w:rPr>
        <w:t xml:space="preserve"> </w:t>
      </w:r>
      <w:r w:rsidRPr="0008355C">
        <w:rPr>
          <w:rFonts w:ascii="Times New Roman" w:hAnsi="Times New Roman" w:cs="Times New Roman"/>
          <w:color w:val="000000"/>
          <w:sz w:val="20"/>
          <w:szCs w:val="20"/>
        </w:rPr>
        <w:t xml:space="preserve">co najmniej trzech kolejnych lat, jednak okres objęty prognozą nie może być krótszy niż okres, na jaki przyjęto limity wydatków na planowane </w:t>
      </w:r>
      <w:r w:rsidRPr="0008355C">
        <w:rPr>
          <w:rFonts w:ascii="Times New Roman" w:hAnsi="Times New Roman" w:cs="Times New Roman"/>
          <w:color w:val="000000"/>
          <w:sz w:val="20"/>
          <w:szCs w:val="20"/>
        </w:rPr>
        <w:br/>
        <w:t xml:space="preserve">i realizowane przedsięwzięcia. WPF sporządza się na okres, na który zaciągnięto oraz planuje się zaciągnąć zobowiązania. </w:t>
      </w:r>
    </w:p>
    <w:p w14:paraId="2DA7F5B4"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Gmina  posiada swoją politykę rozwoju , którą będzie realizowała ale także będzie realizowała wszystkie zadania nałożone ustawą o samorządzie gminnym.</w:t>
      </w:r>
    </w:p>
    <w:p w14:paraId="1F89CB8A"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WPF powinna być realistyczna stąd dane zawarte w Wieloletniej Prognozie Finansowej /W.P.F./ oparte są </w:t>
      </w:r>
      <w:r w:rsidRPr="0008355C">
        <w:rPr>
          <w:rFonts w:ascii="Times New Roman" w:hAnsi="Times New Roman" w:cs="Times New Roman"/>
          <w:color w:val="000000"/>
          <w:sz w:val="20"/>
          <w:szCs w:val="20"/>
        </w:rPr>
        <w:br/>
        <w:t>w szczególności o analizę budżetów z lat poprzednich, politykę gminy w zakresie podatków oraz informacje Ministra Finansów w zakresie założeń makroekonomicznych.</w:t>
      </w:r>
    </w:p>
    <w:p w14:paraId="04523C1C"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1D8C2E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Dane wieloletniej prognozy finansowej będą się zmieniały, ponieważ trudno jest przewidzieć jakie dochody i jakie zadania będą udziałem Gminy na przestrzeni  kilku lat.</w:t>
      </w:r>
    </w:p>
    <w:p w14:paraId="53B9213B"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03CB91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08355C">
        <w:rPr>
          <w:rFonts w:ascii="Times New Roman" w:hAnsi="Times New Roman" w:cs="Times New Roman"/>
          <w:b/>
          <w:bCs/>
          <w:i/>
          <w:iCs/>
          <w:color w:val="000000"/>
          <w:sz w:val="20"/>
          <w:szCs w:val="20"/>
        </w:rPr>
        <w:t xml:space="preserve">1.  DOCHODY </w:t>
      </w:r>
    </w:p>
    <w:p w14:paraId="3494727B"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Dochody  są planowane na podstawie analizy historycznej dochodów oraz wytycznych Ministra Rozwoju </w:t>
      </w:r>
      <w:r w:rsidRPr="0008355C">
        <w:rPr>
          <w:rFonts w:ascii="Times New Roman" w:hAnsi="Times New Roman" w:cs="Times New Roman"/>
          <w:color w:val="000000"/>
          <w:sz w:val="20"/>
          <w:szCs w:val="20"/>
        </w:rPr>
        <w:br/>
        <w:t>i Finansów. W związku z faktem, że od maja 2022 r. obsługę wypłaty świadczenia 500+ będzie realizował ZUS w 2022 r i latach następnych radykalnie, w 2022 o około 8 mln i pozostałych latach o około 10 mln, maleje kwota dochodów z tytułu dotacji na realizację zadań zleconych.</w:t>
      </w:r>
    </w:p>
    <w:p w14:paraId="3DF8A01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06227E8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b/>
          <w:bCs/>
          <w:color w:val="000000"/>
          <w:sz w:val="20"/>
          <w:szCs w:val="20"/>
        </w:rPr>
        <w:t>1.1.Prognoza dochodów bieżących na lata 2022</w:t>
      </w:r>
      <w:r w:rsidRPr="0008355C">
        <w:rPr>
          <w:rFonts w:ascii="Times New Roman" w:hAnsi="Times New Roman" w:cs="Times New Roman"/>
          <w:color w:val="000000"/>
          <w:sz w:val="20"/>
          <w:szCs w:val="20"/>
        </w:rPr>
        <w:t xml:space="preserve">– </w:t>
      </w:r>
      <w:r w:rsidRPr="0008355C">
        <w:rPr>
          <w:rFonts w:ascii="Times New Roman" w:hAnsi="Times New Roman" w:cs="Times New Roman"/>
          <w:b/>
          <w:bCs/>
          <w:color w:val="000000"/>
          <w:sz w:val="20"/>
          <w:szCs w:val="20"/>
        </w:rPr>
        <w:t>2029</w:t>
      </w:r>
      <w:r w:rsidRPr="0008355C">
        <w:rPr>
          <w:rFonts w:ascii="Times New Roman" w:hAnsi="Times New Roman" w:cs="Times New Roman"/>
          <w:color w:val="000000"/>
          <w:sz w:val="20"/>
          <w:szCs w:val="20"/>
        </w:rPr>
        <w:t xml:space="preserve"> przedstawia się następująco:  </w:t>
      </w:r>
    </w:p>
    <w:p w14:paraId="745DCC2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D6DC15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2022- 46551407,71</w:t>
      </w:r>
    </w:p>
    <w:p w14:paraId="069F2A6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2023- 38010000,00</w:t>
      </w:r>
    </w:p>
    <w:p w14:paraId="232A9EAA"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2024- 38270000,00</w:t>
      </w:r>
    </w:p>
    <w:p w14:paraId="3515B327"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2025- 37616000,00</w:t>
      </w:r>
    </w:p>
    <w:p w14:paraId="1C86BF6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2026- 38212000,00</w:t>
      </w:r>
    </w:p>
    <w:p w14:paraId="7868A867"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2027- 38609000,00</w:t>
      </w:r>
    </w:p>
    <w:p w14:paraId="6211722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2028- 39273000,00</w:t>
      </w:r>
    </w:p>
    <w:p w14:paraId="52550A0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2029 -39560000,00</w:t>
      </w:r>
    </w:p>
    <w:p w14:paraId="236E6970"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5DCFBEA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Planuje się  utrzymać  tendencję wzrostową dochodów. Stawki podatkowe wzrastają regularnie w granicach </w:t>
      </w:r>
      <w:r w:rsidRPr="0008355C">
        <w:rPr>
          <w:rFonts w:ascii="Times New Roman" w:hAnsi="Times New Roman" w:cs="Times New Roman"/>
          <w:color w:val="000000"/>
          <w:sz w:val="20"/>
          <w:szCs w:val="20"/>
        </w:rPr>
        <w:br/>
        <w:t xml:space="preserve">1-5%. W związku z faktem wysokiej inflacji oraz brakiem podwyżki stawek w roku 2021 w 2022 r.  podwyższono stawki podatków o około  4%. W kolejnych latach wzrost stawek podatków lokalnych będzie uzależniony od cen skupu żyta oraz inflacji. </w:t>
      </w:r>
    </w:p>
    <w:p w14:paraId="05D326FB"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Opłaty lokalne naliczane są  systematycznie. Regularnie weryfikowane  jest zadłużenie w gminie. Jest prowadzone na bieżąco  postępowanie  wobec osób uchylających się od płacenia. </w:t>
      </w:r>
    </w:p>
    <w:p w14:paraId="108B11C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235A150"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W stosunku  do roku 2021 i lat poprzednich, mimo wzrostu stawek podatków, maleje kwota dochodów własnych. Taka sytuacja bierze przyczynę, pomio racjonalnie prowadzonej polityki w zakresie podatków i opłat lokalnych, z faktu reform podatkowych (zmiana ustaw o PIT i CIT). Znacznie w warunkach Gminy, o około 15%, zmniejsza się kwota planowanych dochodów z udziału w podatku PIT biorąc pod uwagę spodziewane wykonanie 2021 z planem za 2022 r.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zmierzającym </w:t>
      </w:r>
      <w:r w:rsidRPr="0008355C">
        <w:rPr>
          <w:rFonts w:ascii="Times New Roman" w:hAnsi="Times New Roman" w:cs="Times New Roman"/>
          <w:color w:val="000000"/>
          <w:sz w:val="20"/>
          <w:szCs w:val="20"/>
        </w:rPr>
        <w:lastRenderedPageBreak/>
        <w:t>do zbilansowania systemu.</w:t>
      </w:r>
    </w:p>
    <w:p w14:paraId="1E7A3F60"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Podstawowymi  dochodami własnymi są:</w:t>
      </w:r>
      <w:r w:rsidRPr="0008355C">
        <w:rPr>
          <w:rFonts w:ascii="Times New Roman" w:hAnsi="Times New Roman" w:cs="Times New Roman"/>
          <w:b/>
          <w:bCs/>
          <w:color w:val="000000"/>
          <w:sz w:val="20"/>
          <w:szCs w:val="20"/>
        </w:rPr>
        <w:t xml:space="preserve"> </w:t>
      </w:r>
      <w:r w:rsidRPr="0008355C">
        <w:rPr>
          <w:rFonts w:ascii="Times New Roman" w:hAnsi="Times New Roman" w:cs="Times New Roman"/>
          <w:color w:val="000000"/>
          <w:sz w:val="20"/>
          <w:szCs w:val="20"/>
        </w:rPr>
        <w:t>udziały w podatkach PIT i CIT, opłaty, czynsze najmu, dzierżawy, sprzedaż usług ,wpływy z podatku  od nieruchomości, rolnego, leśny, transportowy, wpływy od podatku od czynności cywilno–prawnych, opłata z tytułu gospodarowania odpadami..</w:t>
      </w:r>
    </w:p>
    <w:p w14:paraId="52DDFA0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8CDA234"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1.1.1 Udział w podatku dochodowym od osób fizycznych.</w:t>
      </w:r>
    </w:p>
    <w:p w14:paraId="73D47F8D"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3A2E3C2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Kwota udziału w podatku jest planowana w wysokości 6 185 322,00 zł, tj. zgodnie z pismem ministra finansów </w:t>
      </w:r>
      <w:r w:rsidRPr="0008355C">
        <w:rPr>
          <w:rFonts w:ascii="Times New Roman" w:hAnsi="Times New Roman" w:cs="Times New Roman"/>
          <w:color w:val="000000"/>
          <w:sz w:val="20"/>
          <w:szCs w:val="20"/>
        </w:rPr>
        <w:br/>
        <w:t>w sprawie subwencji.</w:t>
      </w:r>
    </w:p>
    <w:p w14:paraId="1AC7A993"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8C11F5A"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1.1.2 Podatki i opłaty</w:t>
      </w:r>
    </w:p>
    <w:p w14:paraId="23DCAD5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63F1CC5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Podatek rolny</w:t>
      </w:r>
    </w:p>
    <w:p w14:paraId="4E3A5172"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2E5362B3"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Na dochody z podatku rolnego decydujący wpływy ma cena skupu żyta. Stawka Rady Gminy  przy stabilnej cenie jest zwiększana corocznie .W takiej sytuacji dochody można zaplanować realnie. </w:t>
      </w:r>
    </w:p>
    <w:p w14:paraId="4FFE302A" w14:textId="77777777" w:rsidR="0008355C" w:rsidRPr="0008355C" w:rsidRDefault="0008355C" w:rsidP="0008355C">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p>
    <w:p w14:paraId="658A8B81" w14:textId="77777777" w:rsidR="0008355C" w:rsidRPr="0008355C" w:rsidRDefault="0008355C" w:rsidP="0008355C">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0F16C250" w14:textId="77777777" w:rsidR="0008355C" w:rsidRPr="0008355C" w:rsidRDefault="0008355C" w:rsidP="0008355C">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 </w:t>
      </w:r>
    </w:p>
    <w:p w14:paraId="7729207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Na 2022 r. Rada Gminy Pruszcz zmieniła ceny skupu żyta na potrzeby podatku rolnego w związku z czym dochody z tego tytułu wzrosną  do 1 829 000,00 zł.</w:t>
      </w:r>
    </w:p>
    <w:p w14:paraId="7FD0932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FA967D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Podatek od nieruchomości</w:t>
      </w:r>
    </w:p>
    <w:p w14:paraId="2102E534"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71FB3D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6643F30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 2021 r. Rada Gminy Pruszcz nie zmieniła wysokości stawek podatku od nieruchomości, w 2022 r. stawki wzrosły, w związku z czym planuje się wzrost dochodów z tytułu podatku od nieruchomości do kwoty 3 260 000,00 zł.</w:t>
      </w:r>
    </w:p>
    <w:p w14:paraId="57D0751E" w14:textId="77777777" w:rsidR="0008355C" w:rsidRPr="0008355C" w:rsidRDefault="0008355C" w:rsidP="0008355C">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329E499" w14:textId="77777777" w:rsidR="0008355C" w:rsidRPr="0008355C" w:rsidRDefault="0008355C" w:rsidP="0008355C">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1.1.2 Subwencja</w:t>
      </w:r>
    </w:p>
    <w:p w14:paraId="2933C695" w14:textId="77777777" w:rsidR="0008355C" w:rsidRPr="0008355C" w:rsidRDefault="0008355C" w:rsidP="0008355C">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08355C" w:rsidRPr="0008355C" w14:paraId="37AF8AB1"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4256057D"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SUBWENCJA OGÓLNA</w:t>
            </w:r>
          </w:p>
          <w:p w14:paraId="791D718F"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799A8364"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2022</w:t>
            </w:r>
          </w:p>
        </w:tc>
      </w:tr>
      <w:tr w:rsidR="0008355C" w:rsidRPr="0008355C" w14:paraId="7A0ECF38"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64686969"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14A0DB6E"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6 084 758,00</w:t>
            </w:r>
          </w:p>
        </w:tc>
      </w:tr>
      <w:tr w:rsidR="0008355C" w:rsidRPr="0008355C" w14:paraId="565A60F3"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25308364"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512D6A78"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11 219 699,00</w:t>
            </w:r>
          </w:p>
        </w:tc>
      </w:tr>
    </w:tbl>
    <w:p w14:paraId="64461E92"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Kwota subwencji została określona zgodnie z pismami Ministra Finansów w sprawie subwencji.</w:t>
      </w:r>
    </w:p>
    <w:p w14:paraId="710FAE23"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08355C">
        <w:rPr>
          <w:rFonts w:ascii="Times New Roman" w:hAnsi="Times New Roman" w:cs="Times New Roman"/>
          <w:b/>
          <w:bCs/>
          <w:color w:val="000000"/>
          <w:sz w:val="20"/>
          <w:szCs w:val="20"/>
        </w:rPr>
        <w:t>1.1.3 Dotacje i środki  przeznaczone na cele bieżące</w:t>
      </w:r>
    </w:p>
    <w:p w14:paraId="01987286" w14:textId="77777777" w:rsidR="0008355C" w:rsidRPr="0008355C" w:rsidRDefault="0008355C" w:rsidP="0008355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Łączna, planowana kwota dotacji bieżących i środków wynosi 12 139 602,26 zł.</w:t>
      </w:r>
    </w:p>
    <w:p w14:paraId="506E314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2E647BC2"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1.2. Dochody majątkowe, w tym ze sprzedaży majątku.</w:t>
      </w:r>
    </w:p>
    <w:p w14:paraId="5FEC8B0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109F802A"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08355C">
        <w:rPr>
          <w:rFonts w:ascii="Times New Roman" w:hAnsi="Times New Roman" w:cs="Times New Roman"/>
          <w:color w:val="000000"/>
          <w:sz w:val="20"/>
          <w:szCs w:val="20"/>
        </w:rPr>
        <w:t>Łączna kwota planowanych dochodów majątkowych wynosi 6 348 518,00 zł, w tym: 93 500,00 zł to dochody ze sprzedaży majątku, 6 255 018 zł stanowią dochody z tytułu dotacji i środków przeznaczonych na inwestycje.</w:t>
      </w:r>
    </w:p>
    <w:p w14:paraId="52048A32"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1336902F"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08355C" w:rsidRPr="0008355C" w14:paraId="309E21A4" w14:textId="77777777">
        <w:tc>
          <w:tcPr>
            <w:tcW w:w="1031" w:type="dxa"/>
            <w:tcBorders>
              <w:top w:val="nil"/>
              <w:left w:val="nil"/>
              <w:bottom w:val="nil"/>
              <w:right w:val="nil"/>
            </w:tcBorders>
          </w:tcPr>
          <w:p w14:paraId="2F4623C2"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c>
          <w:tcPr>
            <w:tcW w:w="8041" w:type="dxa"/>
            <w:tcBorders>
              <w:top w:val="nil"/>
              <w:left w:val="nil"/>
              <w:bottom w:val="nil"/>
              <w:right w:val="nil"/>
            </w:tcBorders>
          </w:tcPr>
          <w:p w14:paraId="30D6844C"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r>
      <w:tr w:rsidR="0008355C" w:rsidRPr="0008355C" w14:paraId="5617EBE2" w14:textId="77777777">
        <w:tc>
          <w:tcPr>
            <w:tcW w:w="1031" w:type="dxa"/>
            <w:tcBorders>
              <w:top w:val="nil"/>
              <w:left w:val="nil"/>
              <w:bottom w:val="nil"/>
              <w:right w:val="nil"/>
            </w:tcBorders>
          </w:tcPr>
          <w:p w14:paraId="3D7D55BD"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2022</w:t>
            </w:r>
          </w:p>
        </w:tc>
        <w:tc>
          <w:tcPr>
            <w:tcW w:w="8041" w:type="dxa"/>
            <w:tcBorders>
              <w:top w:val="nil"/>
              <w:left w:val="nil"/>
              <w:bottom w:val="nil"/>
              <w:right w:val="nil"/>
            </w:tcBorders>
          </w:tcPr>
          <w:p w14:paraId="0C4F003E"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Planuje się pozyskać środki na realizację inwestycji w ramach RFBD, ponadto ujmuje się dochody na budowę drogi Wałdowo-Zawada w związku z przyznaniem promesy z BGK w ramach </w:t>
            </w:r>
            <w:r w:rsidRPr="0008355C">
              <w:rPr>
                <w:rFonts w:ascii="Times New Roman" w:hAnsi="Times New Roman" w:cs="Times New Roman"/>
                <w:color w:val="000000"/>
                <w:sz w:val="20"/>
                <w:szCs w:val="20"/>
              </w:rPr>
              <w:lastRenderedPageBreak/>
              <w:t>Rządowego Programu Inwestycji Strategicznych kwota planowana do pozyskania w 2022 r. stanowi 1 757 476,14 zł, ponadto Gmina otrzymała promesę na realizację inwestycji pn. "Budowa dróg gminnych w miejscowościach Pruszcz, Serock, Parlin i Trępel na kwotę 4 702 500,00 zł z tego 2 521 250,00 planuje się zrealizować w 2022 r.</w:t>
            </w:r>
          </w:p>
          <w:p w14:paraId="4DC8F010"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Na realizację, m.in. inwestycji drogowych  1 763 451,86zł.</w:t>
            </w:r>
          </w:p>
          <w:p w14:paraId="30AE6FBA"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Uzyskano dofinansowanie w wysokości 25 000,00 zł na realizację projektu pn. "Renowacja murawy boiska sportowego w Serocku"</w:t>
            </w:r>
          </w:p>
          <w:p w14:paraId="2F010B36"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Uzyskano dofinansowanie w wysokości 171 340,00 zł w ramach programu rządowego pn. "Cyfrowa gmina" na realizację projektu pn. "Modernizacja sieci informatycznej Urzędu Miasta i Gminy w Pruszczu".</w:t>
            </w:r>
          </w:p>
        </w:tc>
      </w:tr>
      <w:tr w:rsidR="0008355C" w:rsidRPr="0008355C" w14:paraId="1BC03985" w14:textId="77777777">
        <w:tc>
          <w:tcPr>
            <w:tcW w:w="1031" w:type="dxa"/>
            <w:tcBorders>
              <w:top w:val="nil"/>
              <w:left w:val="nil"/>
              <w:bottom w:val="nil"/>
              <w:right w:val="nil"/>
            </w:tcBorders>
          </w:tcPr>
          <w:p w14:paraId="6EC13210"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lastRenderedPageBreak/>
              <w:t>2023-2029</w:t>
            </w:r>
          </w:p>
        </w:tc>
        <w:tc>
          <w:tcPr>
            <w:tcW w:w="8041" w:type="dxa"/>
            <w:tcBorders>
              <w:top w:val="nil"/>
              <w:left w:val="nil"/>
              <w:bottom w:val="nil"/>
              <w:right w:val="nil"/>
            </w:tcBorders>
          </w:tcPr>
          <w:p w14:paraId="04AA7E69" w14:textId="77777777" w:rsidR="0008355C" w:rsidRPr="0008355C" w:rsidRDefault="0008355C" w:rsidP="0008355C">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1 952 751,27 zł, oraz promesy z BGK na realizację inwestycji pn. "Budowa dróg gminnych w miejscowościach Pruszcz, Serock, Parlin i Trępel na kwotę 4 702 500,00 zł z tego 2 521 250,00 planuje się zrealizować w 2023 r..</w:t>
            </w:r>
          </w:p>
        </w:tc>
      </w:tr>
    </w:tbl>
    <w:p w14:paraId="386B5FB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0A438C0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08355C">
        <w:rPr>
          <w:rFonts w:ascii="Times New Roman" w:hAnsi="Times New Roman" w:cs="Times New Roman"/>
          <w:b/>
          <w:bCs/>
          <w:i/>
          <w:iCs/>
          <w:color w:val="000000"/>
          <w:sz w:val="20"/>
          <w:szCs w:val="20"/>
        </w:rPr>
        <w:t>2.WYDATKI</w:t>
      </w:r>
    </w:p>
    <w:p w14:paraId="5C5FCA40"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1DECDB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Wydatki ogółem</w:t>
      </w:r>
    </w:p>
    <w:p w14:paraId="3B85F457"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CFB7CC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Wydatki budżetu gminy mają tendencję wzrostową. W roku 2022 nastąpi znaczny spadek wydatków czego przyczyną jest realizacja od 2022 r. wypłaty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76EFC472"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75052E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Na 2022 r. planuje się zrealizować wydatki w łącznej kwocie 56 563 245,44 zł</w:t>
      </w:r>
    </w:p>
    <w:p w14:paraId="0F89741D"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 </w:t>
      </w:r>
    </w:p>
    <w:p w14:paraId="27382A3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30B95EB9"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52739CA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Kwota wydatków bieżących wynosi 46 079 000,74 zł, w tym największy udział stanowią wynagrodzenia </w:t>
      </w:r>
      <w:r w:rsidRPr="0008355C">
        <w:rPr>
          <w:rFonts w:ascii="Times New Roman" w:hAnsi="Times New Roman" w:cs="Times New Roman"/>
          <w:color w:val="000000"/>
          <w:sz w:val="20"/>
          <w:szCs w:val="20"/>
        </w:rPr>
        <w:br/>
        <w:t>i pochodne w kwocie 19 819 600,99 zł,  tj. 43,01% wszystkich wydatków bieżących.</w:t>
      </w:r>
    </w:p>
    <w:p w14:paraId="384D640C"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   </w:t>
      </w:r>
    </w:p>
    <w:p w14:paraId="0C03EEBD"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2.1.1 Obsługa długu</w:t>
      </w:r>
    </w:p>
    <w:p w14:paraId="0DEA7BFD"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p>
    <w:p w14:paraId="77A35CA4"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Przyjęto informacje wynikające z wcześniej zawartych umów kredytowych. Plan na rok 2022  r. wynosi </w:t>
      </w:r>
      <w:r w:rsidRPr="0008355C">
        <w:rPr>
          <w:rFonts w:ascii="Times New Roman" w:hAnsi="Times New Roman" w:cs="Times New Roman"/>
          <w:color w:val="000000"/>
          <w:sz w:val="20"/>
          <w:szCs w:val="20"/>
        </w:rPr>
        <w:br/>
        <w:t>450 000,00 zł.</w:t>
      </w:r>
    </w:p>
    <w:p w14:paraId="51260792"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 trakcie realizacji budżetu kwoty wydatków dotyczące obsługi długu często ulegają zmianom z uwagi na sposób wyliczania kosztów kredytu, których podstawa jest stawka WIBOR 3M. Na etapie planowania budżetu założono, że stawka WIBOR 3M będzie się kształtowała w okolicach 1,5 punktu procentowego, tj. na znacznie wyższym poziomie niż w roku 2021. Ze wzglęgu na fakt podnoszenia przez Radę Polityki Pieniężnej stóp procentowych planowana wysokość środków na obsługę długu może być w trakcie roku niewystarczająca stąd prowadzony jest stały monitoring sytuacji. W połowie roku konieczna będzie rewizja w górę planowanej kwoty wydatków na obsługę długu. Skala zmian na dzień dzisiejszy jest trudna do oszacowania, ze względu na dynamikę podwyżek stóp procentowych, będących podstawą wyliczenia wskaźnika WIBOR 3M. Na dzień dzisiejszy można sie spodziewać wzrostu wydatków na obsługę długu o około 100% pierwotnego planu, tj. 300 000,00 zł. W związku z powyższym niniejszą uchwałą zaplanowano wzrost planowanych nakładów o 150 000,00 zł, niemniej do końca roku konieczne będzie zwiększenie nakładów na obsługę długu o kolejne 150 000,00 zł - 250 000,00 zł.</w:t>
      </w:r>
    </w:p>
    <w:p w14:paraId="3AFD5FF4"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556ED6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2.2 Wydatki majątkowe</w:t>
      </w:r>
    </w:p>
    <w:p w14:paraId="12DE797D"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BE7678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777CA6CC"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Łączna kwota wydatków majątkowych wynosi: 10 484 244,70 zł. W roku 2022 planowane jest finansowanie inwestycji ze:</w:t>
      </w:r>
    </w:p>
    <w:p w14:paraId="0417D5D3"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środków zewnętrznych   6 238 518,00 zł,</w:t>
      </w:r>
    </w:p>
    <w:p w14:paraId="2172C0EB"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środków własnych          2 809 726,70 zł,</w:t>
      </w:r>
    </w:p>
    <w:p w14:paraId="4A5FB2DD"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kredyt ów                       1 800 000,00 zł.</w:t>
      </w:r>
    </w:p>
    <w:p w14:paraId="545DAAAA"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2869288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3. Wynik budżetu</w:t>
      </w:r>
    </w:p>
    <w:p w14:paraId="65459F8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3B061D57"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 roku 2022 zaplanowano deficyt w wysokości 3 663 319,73 zł. Pokryciem deficytu będzie kredyt zaciągnięty w banku komercyjnym w wysokości 1 800 000,00 zł oraz wolne środki określone w paragrafie 905 w wysokości 1863319,73 zł.</w:t>
      </w:r>
    </w:p>
    <w:p w14:paraId="74A072E3"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Planowany deficyt pozwoli na realizacje zadań inwestycyjnych, na które nie można pozyskać środków zewnętrznych, lub są one w zbyt małym udziale.</w:t>
      </w:r>
    </w:p>
    <w:p w14:paraId="4A6457F7"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Od roku 2023  -  2029 planowana jest nadwyżka, która pozwoli na spłaty wcześniej zaciągniętych kredytów, bez konieczności zaciągania kolejnych zobowiązań na ich spłatę.</w:t>
      </w:r>
    </w:p>
    <w:p w14:paraId="068F6EFC"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7A15B44"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 poszczególnych latach prognozy spełnione są wskaźniki zobowiązań określone w art. 243 ustawy o finansach publicznych. Jednakże od 2022 r. gmina planuje stosować 7 letni okres do wyliczania wskaźników określonych w art. 243 ustawy o finansach publicznych. Ostateczna decyzja w tej sprawie zostanie podjęta przed uchwaleniem uchwały budżetowej na 2022 r.</w:t>
      </w:r>
    </w:p>
    <w:p w14:paraId="14370F81"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1F5A8C80"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 xml:space="preserve">4. Przychody  i rozchody budżetu </w:t>
      </w:r>
    </w:p>
    <w:p w14:paraId="6FCCCCA9"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WPF to dokument planistyczny obejmujący</w:t>
      </w:r>
      <w:r w:rsidRPr="0008355C">
        <w:rPr>
          <w:rFonts w:ascii="Times New Roman" w:hAnsi="Times New Roman" w:cs="Times New Roman"/>
          <w:b/>
          <w:bCs/>
          <w:color w:val="000000"/>
          <w:sz w:val="20"/>
          <w:szCs w:val="20"/>
        </w:rPr>
        <w:t xml:space="preserve"> </w:t>
      </w:r>
      <w:r w:rsidRPr="0008355C">
        <w:rPr>
          <w:rFonts w:ascii="Times New Roman" w:hAnsi="Times New Roman" w:cs="Times New Roman"/>
          <w:color w:val="000000"/>
          <w:sz w:val="20"/>
          <w:szCs w:val="20"/>
        </w:rPr>
        <w:t>prognozy budżetów gminy na lata 2022-29 niezbędny do  prowadzenia polityki finansowej gminy  w sposób gwarantujący bezpieczeństwo finansowe Gminy   oraz  działania  w zakresie finansów zgodne z ustawą o finansach publicznych.</w:t>
      </w:r>
    </w:p>
    <w:p w14:paraId="1ED45826"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WPF zawiera podstawowe parametry budżetowe w tym  wysokość zobowiązań, planowane spłaty i wyliczenia wskaźników- gwarantujących bezpieczeństwo finansowe. </w:t>
      </w:r>
    </w:p>
    <w:p w14:paraId="53465AE2"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w:t>
      </w:r>
    </w:p>
    <w:p w14:paraId="4D1968F7"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Z uwagi na planowane nadwyżki w latach następnych nowe  przychody z tytułu kredytów i pożyczek nie są planowane.</w:t>
      </w:r>
    </w:p>
    <w:p w14:paraId="62DCB5E7"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Na dzień 31.12.2022 r. planowane jest zadłużenie z tytułu pożyczek i kredytów w wysokości 14 744 324,38 zł.</w:t>
      </w:r>
    </w:p>
    <w:p w14:paraId="483B4785" w14:textId="77777777" w:rsidR="0008355C" w:rsidRPr="0008355C" w:rsidRDefault="0008355C" w:rsidP="00083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color w:val="000000"/>
          <w:sz w:val="20"/>
          <w:szCs w:val="20"/>
        </w:rPr>
        <w:t xml:space="preserve">                                        </w:t>
      </w:r>
    </w:p>
    <w:p w14:paraId="253382AC"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5. Pozostałe wydatki</w:t>
      </w:r>
    </w:p>
    <w:p w14:paraId="4428D3A8"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6D4C9F55"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Są to wydatki związane z wykonywaniem zadań statutowych przez jednostki organizacyjne gminy, wydatki na utrzymanie i eksploatację istniejących i oddawanych do użytku nowych obiektów, remonty. Wydatki te mają </w:t>
      </w:r>
      <w:r w:rsidRPr="0008355C">
        <w:rPr>
          <w:rFonts w:ascii="Times New Roman" w:hAnsi="Times New Roman" w:cs="Times New Roman"/>
          <w:color w:val="000000"/>
          <w:sz w:val="20"/>
          <w:szCs w:val="20"/>
        </w:rPr>
        <w:br/>
        <w:t>z roku na rok tendencję rosnącą znacznie ponad stopień inflacji.</w:t>
      </w:r>
    </w:p>
    <w:p w14:paraId="2F896EC6"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Największy udział w tej kategorii wydatków zajmują wydatki na wynagrodzenia i pochodne w kwocie </w:t>
      </w:r>
      <w:r w:rsidRPr="0008355C">
        <w:rPr>
          <w:rFonts w:ascii="Times New Roman" w:hAnsi="Times New Roman" w:cs="Times New Roman"/>
          <w:color w:val="000000"/>
          <w:sz w:val="20"/>
          <w:szCs w:val="20"/>
        </w:rPr>
        <w:br/>
        <w:t>19 495 124,74 zł.</w:t>
      </w:r>
    </w:p>
    <w:p w14:paraId="466B752D"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W 2022 r. planuje się spłatę długu w wysokości 36,90 zł wydatkami. Są to wydatki związane z zakupem tel. na raty.</w:t>
      </w:r>
    </w:p>
    <w:p w14:paraId="237B119F"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435FC52C"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08355C">
        <w:rPr>
          <w:rFonts w:ascii="Times New Roman" w:hAnsi="Times New Roman" w:cs="Times New Roman"/>
          <w:b/>
          <w:bCs/>
          <w:color w:val="000000"/>
          <w:sz w:val="20"/>
          <w:szCs w:val="20"/>
        </w:rPr>
        <w:t>6. Relacja zrównoważenia wydatków bieżących</w:t>
      </w:r>
    </w:p>
    <w:p w14:paraId="4C1BFC9B"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68B6950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Planowany budżet spełnia wymogi zawarte w art. 242 ustawy o finansach publicznych, który stanowi, że planowane wydatki bieżące nie mogą być wyższe niż planowane dochody bieżące powiększone o nadwyżkę budżetową z lat ubiegłych i wolne środki.</w:t>
      </w:r>
    </w:p>
    <w:p w14:paraId="3F81369E"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5B1920E4"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08355C">
        <w:rPr>
          <w:rFonts w:ascii="Times New Roman" w:hAnsi="Times New Roman" w:cs="Times New Roman"/>
          <w:color w:val="000000"/>
          <w:sz w:val="20"/>
          <w:szCs w:val="20"/>
        </w:rPr>
        <w:t>Objaśnienie do WPF</w:t>
      </w:r>
    </w:p>
    <w:p w14:paraId="6E0FAE55" w14:textId="77777777" w:rsidR="0008355C" w:rsidRPr="0008355C" w:rsidRDefault="0008355C" w:rsidP="000835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Do wykazu przedsięwzięć wprowadzono zadania wieloletnie, które wynikają z wcześniej zawartych umów </w:t>
      </w:r>
      <w:r w:rsidRPr="0008355C">
        <w:rPr>
          <w:rFonts w:ascii="Times New Roman" w:hAnsi="Times New Roman" w:cs="Times New Roman"/>
          <w:color w:val="000000"/>
          <w:sz w:val="20"/>
          <w:szCs w:val="20"/>
        </w:rPr>
        <w:br/>
      </w:r>
      <w:r w:rsidRPr="0008355C">
        <w:rPr>
          <w:rFonts w:ascii="Times New Roman" w:hAnsi="Times New Roman" w:cs="Times New Roman"/>
          <w:color w:val="000000"/>
          <w:sz w:val="20"/>
          <w:szCs w:val="20"/>
        </w:rPr>
        <w:lastRenderedPageBreak/>
        <w:t xml:space="preserve">i planów inwestycyjnych Gminy. </w:t>
      </w:r>
    </w:p>
    <w:p w14:paraId="6A9FD51C" w14:textId="77777777" w:rsidR="0008355C" w:rsidRPr="0008355C" w:rsidRDefault="0008355C" w:rsidP="0008355C">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 xml:space="preserve">Planowane przedsięwzięcia dotyczą zarówno zadań inwestycyjnych jak i bieżących. </w:t>
      </w:r>
    </w:p>
    <w:p w14:paraId="10BF721C" w14:textId="77777777" w:rsidR="0008355C" w:rsidRPr="0008355C" w:rsidRDefault="0008355C" w:rsidP="0008355C">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08355C">
        <w:rPr>
          <w:rFonts w:ascii="Times New Roman" w:hAnsi="Times New Roman" w:cs="Times New Roman"/>
          <w:color w:val="000000"/>
          <w:sz w:val="20"/>
          <w:szCs w:val="20"/>
        </w:rPr>
        <w:t>Przedsięwzięcia na wydatki bieżące dotyczą  bieżącej działalności jednostek organizacyjnych Gminy.</w:t>
      </w:r>
    </w:p>
    <w:p w14:paraId="1B8954F8" w14:textId="77777777" w:rsidR="0008355C" w:rsidRPr="0008355C" w:rsidRDefault="0008355C" w:rsidP="0008355C">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rPr>
          <w:rFonts w:ascii="Times New Roman" w:hAnsi="Times New Roman" w:cs="Times New Roman"/>
          <w:color w:val="000000"/>
          <w:sz w:val="20"/>
          <w:szCs w:val="20"/>
        </w:rPr>
      </w:pPr>
    </w:p>
    <w:p w14:paraId="45FA77F5" w14:textId="77777777" w:rsidR="00D93FFC" w:rsidRDefault="00D93FFC"/>
    <w:sectPr w:rsidR="00D93FFC" w:rsidSect="00045701">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94C"/>
    <w:rsid w:val="0008355C"/>
    <w:rsid w:val="00336B2A"/>
    <w:rsid w:val="005214FD"/>
    <w:rsid w:val="00D8794C"/>
    <w:rsid w:val="00D93F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DF580C-3425-41FE-AD7A-0B236DE17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1890</Words>
  <Characters>11342</Characters>
  <Application>Microsoft Office Word</Application>
  <DocSecurity>0</DocSecurity>
  <Lines>94</Lines>
  <Paragraphs>26</Paragraphs>
  <ScaleCrop>false</ScaleCrop>
  <Company/>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2</cp:revision>
  <dcterms:created xsi:type="dcterms:W3CDTF">2022-06-21T12:04:00Z</dcterms:created>
  <dcterms:modified xsi:type="dcterms:W3CDTF">2022-06-21T12:04:00Z</dcterms:modified>
</cp:coreProperties>
</file>