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8519F"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sz w:val="20"/>
          <w:szCs w:val="20"/>
        </w:rPr>
      </w:pPr>
      <w:r w:rsidRPr="000E5683">
        <w:rPr>
          <w:rFonts w:ascii="Times New Roman" w:hAnsi="Times New Roman" w:cs="Times New Roman"/>
          <w:sz w:val="20"/>
          <w:szCs w:val="20"/>
        </w:rPr>
        <w:t xml:space="preserve">zał. Nr 3 do uchwały Nr .../.../22  </w:t>
      </w:r>
    </w:p>
    <w:p w14:paraId="235004F3"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E5683">
        <w:rPr>
          <w:rFonts w:ascii="Times New Roman" w:hAnsi="Times New Roman" w:cs="Times New Roman"/>
          <w:b/>
          <w:bCs/>
          <w:sz w:val="20"/>
          <w:szCs w:val="20"/>
        </w:rPr>
        <w:t>Objaśnienia przyjętych wartości</w:t>
      </w:r>
    </w:p>
    <w:p w14:paraId="4FDA9CFE"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10C59764"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Obowiązek opracowania wieloletniej prognozy finansowej jednostki samorządu terytorialnego</w:t>
      </w:r>
      <w:r w:rsidRPr="000E5683">
        <w:rPr>
          <w:rFonts w:ascii="Times New Roman" w:hAnsi="Times New Roman" w:cs="Times New Roman"/>
          <w:b/>
          <w:bCs/>
          <w:sz w:val="20"/>
          <w:szCs w:val="20"/>
        </w:rPr>
        <w:t xml:space="preserve"> </w:t>
      </w:r>
      <w:r w:rsidRPr="000E5683">
        <w:rPr>
          <w:rFonts w:ascii="Times New Roman" w:hAnsi="Times New Roman" w:cs="Times New Roman"/>
          <w:sz w:val="20"/>
          <w:szCs w:val="20"/>
        </w:rPr>
        <w:t>wynika z zapisów ustawy z dnia 27 sierpnia 2009 r. o finansach publicznych. Uchwałę w sprawie przyjęcia WPF rada gminy podejmuje nie później niż uchwałę budżetową. Uchwałę sporządza się na okres</w:t>
      </w:r>
      <w:r w:rsidRPr="000E5683">
        <w:rPr>
          <w:rFonts w:ascii="Times New Roman" w:hAnsi="Times New Roman" w:cs="Times New Roman"/>
          <w:b/>
          <w:bCs/>
          <w:sz w:val="20"/>
          <w:szCs w:val="20"/>
        </w:rPr>
        <w:t xml:space="preserve"> </w:t>
      </w:r>
      <w:r w:rsidRPr="000E5683">
        <w:rPr>
          <w:rFonts w:ascii="Times New Roman" w:hAnsi="Times New Roman" w:cs="Times New Roman"/>
          <w:sz w:val="20"/>
          <w:szCs w:val="20"/>
        </w:rPr>
        <w:t xml:space="preserve">co najmniej trzech kolejnych lat, jednak okres objęty prognozą nie może być krótszy niż okres, na jaki przyjęto limity wydatków na planowane </w:t>
      </w:r>
      <w:r w:rsidRPr="000E5683">
        <w:rPr>
          <w:rFonts w:ascii="Times New Roman" w:hAnsi="Times New Roman" w:cs="Times New Roman"/>
          <w:sz w:val="20"/>
          <w:szCs w:val="20"/>
        </w:rPr>
        <w:br/>
        <w:t xml:space="preserve">i realizowane przedsięwzięcia. WPF sporządza się na okres, na który zaciągnięto oraz planuje się zaciągnąć zobowiązania. </w:t>
      </w:r>
    </w:p>
    <w:p w14:paraId="074D8603"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Gmina  posiada swoją politykę rozwoju , którą będzie realizowała ale także będzie realizowała wszystkie zadania nałożone ustawą o samorządzie gminnym.</w:t>
      </w:r>
    </w:p>
    <w:p w14:paraId="441ADAC9"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 xml:space="preserve">WPF powinna być realistyczna stąd dane zawarte w Wieloletniej Prognozie Finansowej /W.P.F./ oparte są </w:t>
      </w:r>
      <w:r w:rsidRPr="000E5683">
        <w:rPr>
          <w:rFonts w:ascii="Times New Roman" w:hAnsi="Times New Roman" w:cs="Times New Roman"/>
          <w:sz w:val="20"/>
          <w:szCs w:val="20"/>
        </w:rPr>
        <w:br/>
        <w:t>w szczególności o analizę budżetów z lat poprzednich, politykę gminy w zakresie podatków oraz informacje Ministra Finansów w zakresie założeń makroekonomicznych.</w:t>
      </w:r>
    </w:p>
    <w:p w14:paraId="5548259D"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4BD7D4A5"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Dane wieloletniej prognozy finansowej będą się zmieniały, ponieważ trudno jest przewidzieć jakie dochody i jakie zadania będą udziałem Gminy na przestrzeni  kilku lat.</w:t>
      </w:r>
    </w:p>
    <w:p w14:paraId="3205AB43"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1E8803B5"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i/>
          <w:iCs/>
          <w:sz w:val="20"/>
          <w:szCs w:val="20"/>
        </w:rPr>
      </w:pPr>
      <w:r w:rsidRPr="000E5683">
        <w:rPr>
          <w:rFonts w:ascii="Times New Roman" w:hAnsi="Times New Roman" w:cs="Times New Roman"/>
          <w:b/>
          <w:bCs/>
          <w:i/>
          <w:iCs/>
          <w:sz w:val="20"/>
          <w:szCs w:val="20"/>
        </w:rPr>
        <w:t xml:space="preserve">1.  DOCHODY </w:t>
      </w:r>
    </w:p>
    <w:p w14:paraId="6302EC7A"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0E5683">
        <w:rPr>
          <w:rFonts w:ascii="Times New Roman" w:hAnsi="Times New Roman" w:cs="Times New Roman"/>
          <w:sz w:val="20"/>
          <w:szCs w:val="20"/>
        </w:rPr>
        <w:t xml:space="preserve">Dochody  są planowane na podstawie analizy historycznej dochodów oraz wytycznych Ministra Rozwoju </w:t>
      </w:r>
      <w:r w:rsidRPr="000E5683">
        <w:rPr>
          <w:rFonts w:ascii="Times New Roman" w:hAnsi="Times New Roman" w:cs="Times New Roman"/>
          <w:sz w:val="20"/>
          <w:szCs w:val="20"/>
        </w:rPr>
        <w:br/>
        <w:t>i Finansów. W związku z faktem, że od maja 2022 r. obsługę wypłaty świadczenia 500+ będzie realizował ZUS w 2022 r i latach następnych radykalnie, w 2022 o około 8 mln i pozostałych latach o około 10 mln, maleje kwota dochodów z tytułu dotacji na realizację zadań zleconych.</w:t>
      </w:r>
    </w:p>
    <w:p w14:paraId="0236E73B"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sz w:val="20"/>
          <w:szCs w:val="20"/>
        </w:rPr>
      </w:pPr>
    </w:p>
    <w:p w14:paraId="0F516CEC"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0E5683">
        <w:rPr>
          <w:rFonts w:ascii="Times New Roman" w:hAnsi="Times New Roman" w:cs="Times New Roman"/>
          <w:b/>
          <w:bCs/>
          <w:sz w:val="20"/>
          <w:szCs w:val="20"/>
        </w:rPr>
        <w:t>1.1.Prognoza dochodów bieżących na lata 2022</w:t>
      </w:r>
      <w:r w:rsidRPr="000E5683">
        <w:rPr>
          <w:rFonts w:ascii="Times New Roman" w:hAnsi="Times New Roman" w:cs="Times New Roman"/>
          <w:sz w:val="20"/>
          <w:szCs w:val="20"/>
        </w:rPr>
        <w:t xml:space="preserve">– </w:t>
      </w:r>
      <w:r w:rsidRPr="000E5683">
        <w:rPr>
          <w:rFonts w:ascii="Times New Roman" w:hAnsi="Times New Roman" w:cs="Times New Roman"/>
          <w:b/>
          <w:bCs/>
          <w:sz w:val="20"/>
          <w:szCs w:val="20"/>
        </w:rPr>
        <w:t>2029</w:t>
      </w:r>
      <w:r w:rsidRPr="000E5683">
        <w:rPr>
          <w:rFonts w:ascii="Times New Roman" w:hAnsi="Times New Roman" w:cs="Times New Roman"/>
          <w:sz w:val="20"/>
          <w:szCs w:val="20"/>
        </w:rPr>
        <w:t xml:space="preserve"> przedstawia się następująco:  </w:t>
      </w:r>
    </w:p>
    <w:p w14:paraId="41CC4CD7"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55AC99F0"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2022- 44012034,19</w:t>
      </w:r>
    </w:p>
    <w:p w14:paraId="599A711D"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2023- 38010000,00</w:t>
      </w:r>
    </w:p>
    <w:p w14:paraId="14F25914"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2024- 38270000,00</w:t>
      </w:r>
    </w:p>
    <w:p w14:paraId="30500B30"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2025- 37616000,00</w:t>
      </w:r>
    </w:p>
    <w:p w14:paraId="09CA0FC0"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2026- 38212000,00</w:t>
      </w:r>
    </w:p>
    <w:p w14:paraId="27CAEE07"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2027- 38609000,00</w:t>
      </w:r>
    </w:p>
    <w:p w14:paraId="2F1A3BA4"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2028- 39273000,00</w:t>
      </w:r>
    </w:p>
    <w:p w14:paraId="1C6EC5CB"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2029 -39560000,00</w:t>
      </w:r>
    </w:p>
    <w:p w14:paraId="60A6AD99"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755EB0E7"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 xml:space="preserve">Planuje się  utrzymać  tendencję wzrostową dochodów. Stawki podatkowe wzrastają regularnie w granicach </w:t>
      </w:r>
      <w:r w:rsidRPr="000E5683">
        <w:rPr>
          <w:rFonts w:ascii="Times New Roman" w:hAnsi="Times New Roman" w:cs="Times New Roman"/>
          <w:sz w:val="20"/>
          <w:szCs w:val="20"/>
        </w:rPr>
        <w:br/>
        <w:t>1-5%. W związku z faktem wysokiej inflacji oraz brakiem podwyżki stawek w roku 2021 w 2022 r.  podwyższono stawki podatków o około  4%.</w:t>
      </w:r>
    </w:p>
    <w:p w14:paraId="4CB58474"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 xml:space="preserve">Opłaty lokalne naliczane są  systematycznie. Regularnie weryfikowane  jest zadłużenie w gminie. Jest prowadzone na bieżąco  postępowanie  wobec osób uchylających się od płacenia. </w:t>
      </w:r>
    </w:p>
    <w:p w14:paraId="6AA73DC4"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2CF96A10"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0E5683">
        <w:rPr>
          <w:rFonts w:ascii="Times New Roman" w:hAnsi="Times New Roman" w:cs="Times New Roman"/>
          <w:sz w:val="20"/>
          <w:szCs w:val="20"/>
        </w:rPr>
        <w:t>W stosunku  do roku 2021 i lat poprzednich, mimo wzrostu stawek podatków, maleje kwota dochodów własnych. Taka sytuacja bierze przyczynę, pomimo racjonalnie prowadzonej polityki w zakresie podatków i opłat lokalnych, z faktu reform podatkowych (zmiana ustaw o PIT i CIT). Znacznie w warunkach Gminy, o około 15%, zmniejsza się kwota planowanych dochodów z udziału w podatku PIT biorąc pod uwagę spodziewane wykonanie 2021 z planem za 2022 r. W latach następnych dochody własne powinny wrócić na ścieżkę wzrostową. Fakt obowiązku realizacji nowych zadań oraz wzrostu jakości ich realizacji powoduje wzrost kosztów stałych wydatków. Zmusza to  gminę do pozyskiwania coraz to wyższych dochodów. I to jest głównym powodem prowadzonej polityki w zakresie wzrostu obciążeń mieszkańców. Na etapie wprowadzania uchwał w sprawie WPF i budżetu nie planuje się wzrostu  dochodów z tytułu gospodarowania odpadami, zaznacza się jednak, że w sytuacji dynamicznej zmiany cen na rynku odbioru odpadów oraz zmaterializowania się przesłanek pogarszających ogólne warunki prowadzenia działalności gospodarczej nie wyklucza się możliwości zmiany stawki, adekwatnie do wzrostu obciążeń, w kierunku zmierzającym do zbilansowania systemu.</w:t>
      </w:r>
    </w:p>
    <w:p w14:paraId="7766A3D4"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0E5683">
        <w:rPr>
          <w:rFonts w:ascii="Times New Roman" w:hAnsi="Times New Roman" w:cs="Times New Roman"/>
          <w:sz w:val="20"/>
          <w:szCs w:val="20"/>
        </w:rPr>
        <w:lastRenderedPageBreak/>
        <w:t>Podstawowymi  dochodami własnymi są:</w:t>
      </w:r>
      <w:r w:rsidRPr="000E5683">
        <w:rPr>
          <w:rFonts w:ascii="Times New Roman" w:hAnsi="Times New Roman" w:cs="Times New Roman"/>
          <w:b/>
          <w:bCs/>
          <w:sz w:val="20"/>
          <w:szCs w:val="20"/>
        </w:rPr>
        <w:t xml:space="preserve"> </w:t>
      </w:r>
      <w:r w:rsidRPr="000E5683">
        <w:rPr>
          <w:rFonts w:ascii="Times New Roman" w:hAnsi="Times New Roman" w:cs="Times New Roman"/>
          <w:sz w:val="20"/>
          <w:szCs w:val="20"/>
        </w:rPr>
        <w:t xml:space="preserve">udziały w podatkach PIT i CIT, opłaty, czynsze najmu, dzierżawy, sprzedaż usług ,wpływy z podatku  od nieruchomości, rolnego, leśny, transportowy, wpływy od podatku od czynności </w:t>
      </w:r>
      <w:proofErr w:type="spellStart"/>
      <w:r w:rsidRPr="000E5683">
        <w:rPr>
          <w:rFonts w:ascii="Times New Roman" w:hAnsi="Times New Roman" w:cs="Times New Roman"/>
          <w:sz w:val="20"/>
          <w:szCs w:val="20"/>
        </w:rPr>
        <w:t>cywilno</w:t>
      </w:r>
      <w:proofErr w:type="spellEnd"/>
      <w:r w:rsidRPr="000E5683">
        <w:rPr>
          <w:rFonts w:ascii="Times New Roman" w:hAnsi="Times New Roman" w:cs="Times New Roman"/>
          <w:sz w:val="20"/>
          <w:szCs w:val="20"/>
        </w:rPr>
        <w:t>–prawnych, opłata z tytułu gospodarowania odpadami..</w:t>
      </w:r>
    </w:p>
    <w:p w14:paraId="37A7E8D0"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3F9B4383"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E5683">
        <w:rPr>
          <w:rFonts w:ascii="Times New Roman" w:hAnsi="Times New Roman" w:cs="Times New Roman"/>
          <w:b/>
          <w:bCs/>
          <w:sz w:val="20"/>
          <w:szCs w:val="20"/>
        </w:rPr>
        <w:t>1.1.1 Udział w podatku dochodowym od osób fizycznych.</w:t>
      </w:r>
    </w:p>
    <w:p w14:paraId="4279CB29" w14:textId="77777777" w:rsidR="000E5683" w:rsidRPr="000E5683" w:rsidRDefault="000E5683" w:rsidP="000E56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5573C42D"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 xml:space="preserve">Kwota udziału w podatku jest planowana w wysokości 6 185 322,00 zł, tj. zgodnie z pismem ministra finansów </w:t>
      </w:r>
      <w:r w:rsidRPr="000E5683">
        <w:rPr>
          <w:rFonts w:ascii="Times New Roman" w:hAnsi="Times New Roman" w:cs="Times New Roman"/>
          <w:sz w:val="20"/>
          <w:szCs w:val="20"/>
        </w:rPr>
        <w:br/>
        <w:t>w sprawie subwencji.</w:t>
      </w:r>
    </w:p>
    <w:p w14:paraId="5539DBD9"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27B3E415"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E5683">
        <w:rPr>
          <w:rFonts w:ascii="Times New Roman" w:hAnsi="Times New Roman" w:cs="Times New Roman"/>
          <w:b/>
          <w:bCs/>
          <w:sz w:val="20"/>
          <w:szCs w:val="20"/>
        </w:rPr>
        <w:t>1.1.2 Podatki i opłaty</w:t>
      </w:r>
    </w:p>
    <w:p w14:paraId="3B41C1B6"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64B132EA"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E5683">
        <w:rPr>
          <w:rFonts w:ascii="Times New Roman" w:hAnsi="Times New Roman" w:cs="Times New Roman"/>
          <w:b/>
          <w:bCs/>
          <w:sz w:val="20"/>
          <w:szCs w:val="20"/>
        </w:rPr>
        <w:t>Podatek rolny</w:t>
      </w:r>
    </w:p>
    <w:p w14:paraId="7CFB2601"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49EDDCE3"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 xml:space="preserve">Na dochody z podatku rolnego decydujący wpływy ma cena skupu żyta. Stawka Rady Gminy  przy stabilnej cenie jest zwiększana corocznie .W takiej sytuacji dochody można zaplanować realnie. </w:t>
      </w:r>
    </w:p>
    <w:p w14:paraId="453FD94A" w14:textId="77777777" w:rsidR="000E5683" w:rsidRPr="000E5683" w:rsidRDefault="000E5683" w:rsidP="000E5683">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p>
    <w:p w14:paraId="3D7FCA25" w14:textId="77777777" w:rsidR="000E5683" w:rsidRPr="000E5683" w:rsidRDefault="000E5683" w:rsidP="000E5683">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Przy planowaniu dochodów uwzględniono  analizę historyczną dochodów z tego podatku, zapisy w ewidencji gruntów w geodezji Starostwa Powiatowego, z której wynika ,że liczba hektarów w Gminie Pruszcz zmniejszyła się/ budowa S5 a także zmiana klasyfikacji gruntów / oraz  uwzględniono zwolnienia ustawowe.</w:t>
      </w:r>
    </w:p>
    <w:p w14:paraId="6A7AB43F" w14:textId="77777777" w:rsidR="000E5683" w:rsidRPr="000E5683" w:rsidRDefault="000E5683" w:rsidP="000E5683">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color w:val="FF0000"/>
          <w:sz w:val="20"/>
          <w:szCs w:val="20"/>
        </w:rPr>
        <w:t xml:space="preserve"> </w:t>
      </w:r>
    </w:p>
    <w:p w14:paraId="0061C7AE"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Na 2022 r. Rada Gminy Pruszcz zmieniła ceny skupu żyta na potrzeby podatku rolnego w związku z czym dochody z tego tytułu wzrosną  do 1 829 000,00 zł.</w:t>
      </w:r>
    </w:p>
    <w:p w14:paraId="42361C2D"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30E3CC82"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E5683">
        <w:rPr>
          <w:rFonts w:ascii="Times New Roman" w:hAnsi="Times New Roman" w:cs="Times New Roman"/>
          <w:b/>
          <w:bCs/>
          <w:sz w:val="20"/>
          <w:szCs w:val="20"/>
        </w:rPr>
        <w:t>Podatek od nieruchomości</w:t>
      </w:r>
    </w:p>
    <w:p w14:paraId="2E295724"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0300D799"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Określana i przyjmowana  przez Ministra Finansów w założeniach makroekonomicznych inflacja  daje podstawy do wyliczeń a kontynuowana od lat polityka Rady Gminy  w zakresie wzrostu podatków lokalnych jest podstawą realnych  dochodów.</w:t>
      </w:r>
    </w:p>
    <w:p w14:paraId="525BC20D"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W 2021 r. Rada Gminy Pruszcz nie zmieniła wysokości stawek podatku od nieruchomości, w 2022 r. stawki wzrosły, w związku z czym planuje się wzrost dochodów z tytułu podatku od nieruchomości do kwoty 3 260 000,00 zł.</w:t>
      </w:r>
    </w:p>
    <w:p w14:paraId="253052C7" w14:textId="77777777" w:rsidR="000E5683" w:rsidRPr="000E5683" w:rsidRDefault="000E5683" w:rsidP="000E5683">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49E475E8" w14:textId="77777777" w:rsidR="000E5683" w:rsidRPr="000E5683" w:rsidRDefault="000E5683" w:rsidP="000E5683">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E5683">
        <w:rPr>
          <w:rFonts w:ascii="Times New Roman" w:hAnsi="Times New Roman" w:cs="Times New Roman"/>
          <w:b/>
          <w:bCs/>
          <w:sz w:val="20"/>
          <w:szCs w:val="20"/>
        </w:rPr>
        <w:t>1.1.2 Subwencja</w:t>
      </w:r>
    </w:p>
    <w:p w14:paraId="5C8C2869" w14:textId="77777777" w:rsidR="000E5683" w:rsidRPr="000E5683" w:rsidRDefault="000E5683" w:rsidP="000E5683">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2323"/>
        <w:gridCol w:w="2205"/>
      </w:tblGrid>
      <w:tr w:rsidR="000E5683" w:rsidRPr="000E5683" w14:paraId="208781C4" w14:textId="77777777">
        <w:trPr>
          <w:trHeight w:val="555"/>
        </w:trPr>
        <w:tc>
          <w:tcPr>
            <w:tcW w:w="2323" w:type="dxa"/>
            <w:tcBorders>
              <w:top w:val="single" w:sz="4" w:space="0" w:color="auto"/>
              <w:left w:val="single" w:sz="4" w:space="0" w:color="auto"/>
              <w:bottom w:val="single" w:sz="4" w:space="0" w:color="auto"/>
              <w:right w:val="single" w:sz="4" w:space="0" w:color="auto"/>
            </w:tcBorders>
          </w:tcPr>
          <w:p w14:paraId="07F729E7" w14:textId="77777777" w:rsidR="000E5683" w:rsidRPr="000E5683" w:rsidRDefault="000E5683" w:rsidP="000E56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SUBWENCJA OGÓLNA</w:t>
            </w:r>
          </w:p>
          <w:p w14:paraId="300F29A8" w14:textId="77777777" w:rsidR="000E5683" w:rsidRPr="000E5683" w:rsidRDefault="000E5683" w:rsidP="000E56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PLAN</w:t>
            </w:r>
          </w:p>
        </w:tc>
        <w:tc>
          <w:tcPr>
            <w:tcW w:w="2205" w:type="dxa"/>
            <w:tcBorders>
              <w:top w:val="single" w:sz="4" w:space="0" w:color="auto"/>
              <w:left w:val="single" w:sz="4" w:space="0" w:color="auto"/>
              <w:bottom w:val="single" w:sz="4" w:space="0" w:color="auto"/>
              <w:right w:val="single" w:sz="4" w:space="0" w:color="auto"/>
            </w:tcBorders>
          </w:tcPr>
          <w:p w14:paraId="50BDE859" w14:textId="77777777" w:rsidR="000E5683" w:rsidRPr="000E5683" w:rsidRDefault="000E5683" w:rsidP="000E56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2022</w:t>
            </w:r>
          </w:p>
        </w:tc>
      </w:tr>
      <w:tr w:rsidR="000E5683" w:rsidRPr="000E5683" w14:paraId="11210E6B" w14:textId="77777777">
        <w:trPr>
          <w:trHeight w:val="248"/>
        </w:trPr>
        <w:tc>
          <w:tcPr>
            <w:tcW w:w="2323" w:type="dxa"/>
            <w:tcBorders>
              <w:top w:val="single" w:sz="4" w:space="0" w:color="auto"/>
              <w:left w:val="single" w:sz="4" w:space="0" w:color="auto"/>
              <w:bottom w:val="single" w:sz="4" w:space="0" w:color="auto"/>
              <w:right w:val="single" w:sz="4" w:space="0" w:color="auto"/>
            </w:tcBorders>
          </w:tcPr>
          <w:p w14:paraId="0989F11B" w14:textId="77777777" w:rsidR="000E5683" w:rsidRPr="000E5683" w:rsidRDefault="000E5683" w:rsidP="000E56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 xml:space="preserve">Wyrównawcza </w:t>
            </w:r>
          </w:p>
        </w:tc>
        <w:tc>
          <w:tcPr>
            <w:tcW w:w="2205" w:type="dxa"/>
            <w:tcBorders>
              <w:top w:val="single" w:sz="4" w:space="0" w:color="auto"/>
              <w:left w:val="single" w:sz="4" w:space="0" w:color="auto"/>
              <w:bottom w:val="single" w:sz="4" w:space="0" w:color="auto"/>
              <w:right w:val="single" w:sz="4" w:space="0" w:color="auto"/>
            </w:tcBorders>
          </w:tcPr>
          <w:p w14:paraId="0BF3556E" w14:textId="77777777" w:rsidR="000E5683" w:rsidRPr="000E5683" w:rsidRDefault="000E5683" w:rsidP="000E56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6 084 758,00</w:t>
            </w:r>
          </w:p>
        </w:tc>
      </w:tr>
      <w:tr w:rsidR="000E5683" w:rsidRPr="000E5683" w14:paraId="73ED984F" w14:textId="77777777">
        <w:trPr>
          <w:trHeight w:val="244"/>
        </w:trPr>
        <w:tc>
          <w:tcPr>
            <w:tcW w:w="2323" w:type="dxa"/>
            <w:tcBorders>
              <w:top w:val="single" w:sz="4" w:space="0" w:color="auto"/>
              <w:left w:val="single" w:sz="4" w:space="0" w:color="auto"/>
              <w:bottom w:val="single" w:sz="4" w:space="0" w:color="auto"/>
              <w:right w:val="single" w:sz="4" w:space="0" w:color="auto"/>
            </w:tcBorders>
          </w:tcPr>
          <w:p w14:paraId="3C32CDDA" w14:textId="77777777" w:rsidR="000E5683" w:rsidRPr="000E5683" w:rsidRDefault="000E5683" w:rsidP="000E56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 xml:space="preserve">Oświatowa </w:t>
            </w:r>
          </w:p>
        </w:tc>
        <w:tc>
          <w:tcPr>
            <w:tcW w:w="2205" w:type="dxa"/>
            <w:tcBorders>
              <w:top w:val="single" w:sz="4" w:space="0" w:color="auto"/>
              <w:left w:val="single" w:sz="4" w:space="0" w:color="auto"/>
              <w:bottom w:val="single" w:sz="4" w:space="0" w:color="auto"/>
              <w:right w:val="single" w:sz="4" w:space="0" w:color="auto"/>
            </w:tcBorders>
          </w:tcPr>
          <w:p w14:paraId="040FF9C4" w14:textId="77777777" w:rsidR="000E5683" w:rsidRPr="000E5683" w:rsidRDefault="000E5683" w:rsidP="000E56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10 868 805,00</w:t>
            </w:r>
          </w:p>
        </w:tc>
      </w:tr>
    </w:tbl>
    <w:p w14:paraId="7CF9132B" w14:textId="77777777" w:rsidR="000E5683" w:rsidRPr="000E5683" w:rsidRDefault="000E5683" w:rsidP="000E56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00" w:after="100" w:line="240" w:lineRule="auto"/>
        <w:jc w:val="both"/>
        <w:rPr>
          <w:rFonts w:ascii="Times New Roman" w:hAnsi="Times New Roman" w:cs="Times New Roman"/>
          <w:sz w:val="20"/>
          <w:szCs w:val="20"/>
        </w:rPr>
      </w:pPr>
      <w:r w:rsidRPr="000E5683">
        <w:rPr>
          <w:rFonts w:ascii="Times New Roman" w:hAnsi="Times New Roman" w:cs="Times New Roman"/>
          <w:sz w:val="20"/>
          <w:szCs w:val="20"/>
        </w:rPr>
        <w:t>Kwota subwencji została określona zgodnie z pismami Ministra Finansów w sprawie subwencji.</w:t>
      </w:r>
    </w:p>
    <w:p w14:paraId="7A615E37" w14:textId="77777777" w:rsidR="000E5683" w:rsidRPr="000E5683" w:rsidRDefault="000E5683" w:rsidP="000E56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00" w:after="100" w:line="240" w:lineRule="auto"/>
        <w:jc w:val="both"/>
        <w:rPr>
          <w:rFonts w:ascii="Times New Roman" w:hAnsi="Times New Roman" w:cs="Times New Roman"/>
          <w:sz w:val="20"/>
          <w:szCs w:val="20"/>
        </w:rPr>
      </w:pPr>
      <w:r w:rsidRPr="000E5683">
        <w:rPr>
          <w:rFonts w:ascii="Times New Roman" w:hAnsi="Times New Roman" w:cs="Times New Roman"/>
          <w:b/>
          <w:bCs/>
          <w:sz w:val="20"/>
          <w:szCs w:val="20"/>
        </w:rPr>
        <w:t>1.1.3 Dotacje i środki  przeznaczone na cele bieżące</w:t>
      </w:r>
    </w:p>
    <w:p w14:paraId="04685F17" w14:textId="77777777" w:rsidR="000E5683" w:rsidRPr="000E5683" w:rsidRDefault="000E5683" w:rsidP="000E568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Łączna, planowana kwota dotacji bieżących i środków wynosi 10 836 208,74 zł.</w:t>
      </w:r>
    </w:p>
    <w:p w14:paraId="3314B99E"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3D21A815"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sz w:val="20"/>
          <w:szCs w:val="20"/>
        </w:rPr>
      </w:pPr>
      <w:r w:rsidRPr="000E5683">
        <w:rPr>
          <w:rFonts w:ascii="Times New Roman" w:hAnsi="Times New Roman" w:cs="Times New Roman"/>
          <w:b/>
          <w:bCs/>
          <w:sz w:val="20"/>
          <w:szCs w:val="20"/>
        </w:rPr>
        <w:t>1.2. Dochody majątkowe, w tym ze sprzedaży majątku.</w:t>
      </w:r>
    </w:p>
    <w:p w14:paraId="4F3A049F"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sz w:val="20"/>
          <w:szCs w:val="20"/>
        </w:rPr>
      </w:pPr>
    </w:p>
    <w:p w14:paraId="7FD01D2D"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sz w:val="20"/>
          <w:szCs w:val="20"/>
        </w:rPr>
      </w:pPr>
      <w:r w:rsidRPr="000E5683">
        <w:rPr>
          <w:rFonts w:ascii="Times New Roman" w:hAnsi="Times New Roman" w:cs="Times New Roman"/>
          <w:sz w:val="20"/>
          <w:szCs w:val="20"/>
        </w:rPr>
        <w:t>Łączna kwota planowanych dochodów majątkowych wynosi 4 489 791,86 zł, w tym: 93 500,00 zł to dochody ze sprzedaży majątku, 4 379 791,86 zł stanowią dochody z tytułu dotacji i środków przeznaczonych na inwestycje.</w:t>
      </w:r>
    </w:p>
    <w:p w14:paraId="6DFC4A3F"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p>
    <w:p w14:paraId="02B93951" w14:textId="77777777" w:rsidR="000E5683" w:rsidRPr="000E5683" w:rsidRDefault="000E5683" w:rsidP="000E5683">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0E5683">
        <w:rPr>
          <w:rFonts w:ascii="Times New Roman" w:hAnsi="Times New Roman" w:cs="Times New Roman"/>
          <w:sz w:val="20"/>
          <w:szCs w:val="20"/>
        </w:rPr>
        <w:t>Dochody majątkowe (ujęto również dotacje przeznaczone na realizację inwestycji) na lata 2022- 2029 dotyczą:</w:t>
      </w:r>
    </w:p>
    <w:tbl>
      <w:tblPr>
        <w:tblW w:w="0" w:type="auto"/>
        <w:tblLayout w:type="fixed"/>
        <w:tblCellMar>
          <w:left w:w="36" w:type="dxa"/>
          <w:right w:w="36" w:type="dxa"/>
        </w:tblCellMar>
        <w:tblLook w:val="0000" w:firstRow="0" w:lastRow="0" w:firstColumn="0" w:lastColumn="0" w:noHBand="0" w:noVBand="0"/>
      </w:tblPr>
      <w:tblGrid>
        <w:gridCol w:w="1031"/>
        <w:gridCol w:w="8041"/>
      </w:tblGrid>
      <w:tr w:rsidR="000E5683" w:rsidRPr="000E5683" w14:paraId="3C658E31" w14:textId="77777777">
        <w:tc>
          <w:tcPr>
            <w:tcW w:w="1031" w:type="dxa"/>
            <w:tcBorders>
              <w:top w:val="nil"/>
              <w:left w:val="nil"/>
              <w:bottom w:val="nil"/>
              <w:right w:val="nil"/>
            </w:tcBorders>
          </w:tcPr>
          <w:p w14:paraId="16D89798" w14:textId="77777777" w:rsidR="000E5683" w:rsidRPr="000E5683" w:rsidRDefault="000E5683" w:rsidP="000E5683">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p>
        </w:tc>
        <w:tc>
          <w:tcPr>
            <w:tcW w:w="8041" w:type="dxa"/>
            <w:tcBorders>
              <w:top w:val="nil"/>
              <w:left w:val="nil"/>
              <w:bottom w:val="nil"/>
              <w:right w:val="nil"/>
            </w:tcBorders>
          </w:tcPr>
          <w:p w14:paraId="0E3C5A6C" w14:textId="77777777" w:rsidR="000E5683" w:rsidRPr="000E5683" w:rsidRDefault="000E5683" w:rsidP="000E5683">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p>
        </w:tc>
      </w:tr>
      <w:tr w:rsidR="000E5683" w:rsidRPr="000E5683" w14:paraId="11132096" w14:textId="77777777">
        <w:tc>
          <w:tcPr>
            <w:tcW w:w="1031" w:type="dxa"/>
            <w:tcBorders>
              <w:top w:val="nil"/>
              <w:left w:val="nil"/>
              <w:bottom w:val="nil"/>
              <w:right w:val="nil"/>
            </w:tcBorders>
          </w:tcPr>
          <w:p w14:paraId="1F0CC70B" w14:textId="77777777" w:rsidR="000E5683" w:rsidRPr="000E5683" w:rsidRDefault="000E5683" w:rsidP="000E5683">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0E5683">
              <w:rPr>
                <w:rFonts w:ascii="Times New Roman" w:hAnsi="Times New Roman" w:cs="Times New Roman"/>
                <w:sz w:val="20"/>
                <w:szCs w:val="20"/>
              </w:rPr>
              <w:t>2022</w:t>
            </w:r>
          </w:p>
        </w:tc>
        <w:tc>
          <w:tcPr>
            <w:tcW w:w="8041" w:type="dxa"/>
            <w:tcBorders>
              <w:top w:val="nil"/>
              <w:left w:val="nil"/>
              <w:bottom w:val="nil"/>
              <w:right w:val="nil"/>
            </w:tcBorders>
          </w:tcPr>
          <w:p w14:paraId="483CB149" w14:textId="77777777" w:rsidR="000E5683" w:rsidRPr="000E5683" w:rsidRDefault="000E5683" w:rsidP="000E5683">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0E5683">
              <w:rPr>
                <w:rFonts w:ascii="Times New Roman" w:hAnsi="Times New Roman" w:cs="Times New Roman"/>
                <w:sz w:val="20"/>
                <w:szCs w:val="20"/>
              </w:rPr>
              <w:t xml:space="preserve">Planuje się pozyskać środki na realizację inwestycji w ramach RFBD, ponadto ujmuje się dochody na budowę drogi Wałdowo-Zawada w związku z przyznaniem promesy z BGK w ramach Rządowego Programu Inwestycji Strategicznych kwota planowana do pozyskania w 2022 r. stanowi </w:t>
            </w:r>
            <w:r w:rsidRPr="000E5683">
              <w:rPr>
                <w:rFonts w:ascii="Times New Roman" w:hAnsi="Times New Roman" w:cs="Times New Roman"/>
                <w:sz w:val="20"/>
                <w:szCs w:val="20"/>
              </w:rPr>
              <w:lastRenderedPageBreak/>
              <w:t>2 137 500,00 zł.</w:t>
            </w:r>
          </w:p>
          <w:p w14:paraId="5B6A1183" w14:textId="77777777" w:rsidR="000E5683" w:rsidRPr="000E5683" w:rsidRDefault="000E5683" w:rsidP="000E5683">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0E5683">
              <w:rPr>
                <w:rFonts w:ascii="Times New Roman" w:hAnsi="Times New Roman" w:cs="Times New Roman"/>
                <w:sz w:val="20"/>
                <w:szCs w:val="20"/>
              </w:rPr>
              <w:t>Na realizację inwestycji drogowych 1  648 449,55 zł.</w:t>
            </w:r>
          </w:p>
          <w:p w14:paraId="0F2EC02F" w14:textId="77777777" w:rsidR="000E5683" w:rsidRPr="000E5683" w:rsidRDefault="000E5683" w:rsidP="000E5683">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0E5683">
              <w:rPr>
                <w:rFonts w:ascii="Times New Roman" w:hAnsi="Times New Roman" w:cs="Times New Roman"/>
                <w:sz w:val="20"/>
                <w:szCs w:val="20"/>
              </w:rPr>
              <w:t xml:space="preserve">Uzyskano dofinansowanie w wysokości 25 000,00 zł na realizację projektu pn. "Renowacja murawy boiska </w:t>
            </w:r>
            <w:proofErr w:type="spellStart"/>
            <w:r w:rsidRPr="000E5683">
              <w:rPr>
                <w:rFonts w:ascii="Times New Roman" w:hAnsi="Times New Roman" w:cs="Times New Roman"/>
                <w:sz w:val="20"/>
                <w:szCs w:val="20"/>
              </w:rPr>
              <w:t>spportowego</w:t>
            </w:r>
            <w:proofErr w:type="spellEnd"/>
            <w:r w:rsidRPr="000E5683">
              <w:rPr>
                <w:rFonts w:ascii="Times New Roman" w:hAnsi="Times New Roman" w:cs="Times New Roman"/>
                <w:sz w:val="20"/>
                <w:szCs w:val="20"/>
              </w:rPr>
              <w:t xml:space="preserve"> w Serocku"</w:t>
            </w:r>
          </w:p>
          <w:p w14:paraId="0F8F8CA4" w14:textId="77777777" w:rsidR="000E5683" w:rsidRPr="000E5683" w:rsidRDefault="000E5683" w:rsidP="000E5683">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0E5683">
              <w:rPr>
                <w:rFonts w:ascii="Times New Roman" w:hAnsi="Times New Roman" w:cs="Times New Roman"/>
                <w:sz w:val="20"/>
                <w:szCs w:val="20"/>
              </w:rPr>
              <w:t>Uzyskano dofinansowanie w wysokości 171 340,00 zł w ramach programu rządowego pn. "Cyfrowa gmina" na realizację projektu pn. "Modernizacja sieci informatycznej Urzędu Miasta i Gminy w Pruszczu".</w:t>
            </w:r>
          </w:p>
        </w:tc>
      </w:tr>
      <w:tr w:rsidR="000E5683" w:rsidRPr="000E5683" w14:paraId="3EA3842F" w14:textId="77777777">
        <w:tc>
          <w:tcPr>
            <w:tcW w:w="1031" w:type="dxa"/>
            <w:tcBorders>
              <w:top w:val="nil"/>
              <w:left w:val="nil"/>
              <w:bottom w:val="nil"/>
              <w:right w:val="nil"/>
            </w:tcBorders>
          </w:tcPr>
          <w:p w14:paraId="25D5C607" w14:textId="77777777" w:rsidR="000E5683" w:rsidRPr="000E5683" w:rsidRDefault="000E5683" w:rsidP="000E5683">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0E5683">
              <w:rPr>
                <w:rFonts w:ascii="Times New Roman" w:hAnsi="Times New Roman" w:cs="Times New Roman"/>
                <w:sz w:val="20"/>
                <w:szCs w:val="20"/>
              </w:rPr>
              <w:lastRenderedPageBreak/>
              <w:t>2023-2029</w:t>
            </w:r>
          </w:p>
        </w:tc>
        <w:tc>
          <w:tcPr>
            <w:tcW w:w="8041" w:type="dxa"/>
            <w:tcBorders>
              <w:top w:val="nil"/>
              <w:left w:val="nil"/>
              <w:bottom w:val="nil"/>
              <w:right w:val="nil"/>
            </w:tcBorders>
          </w:tcPr>
          <w:p w14:paraId="151AC27A" w14:textId="77777777" w:rsidR="000E5683" w:rsidRPr="000E5683" w:rsidRDefault="000E5683" w:rsidP="000E5683">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0E5683">
              <w:rPr>
                <w:rFonts w:ascii="Times New Roman" w:hAnsi="Times New Roman" w:cs="Times New Roman"/>
                <w:sz w:val="20"/>
                <w:szCs w:val="20"/>
              </w:rPr>
              <w:t>Planuje się środki z budżetu państwa na realizacje zadań w zakresie dróg lokalnych oraz ze sprzedaży majątku gminnego ponadto ujmuje się dochody na budowę drogi Wałdowo-Zawada w związku z przyznaniem promesy z BGK w ramach Rządowego Programu Inwestycji Strategicznych kwota planowana do pozyskania w 2023 r. stanowi 2 025 000,00 zł.</w:t>
            </w:r>
          </w:p>
        </w:tc>
      </w:tr>
    </w:tbl>
    <w:p w14:paraId="2212CBF4"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p>
    <w:p w14:paraId="4627110E"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i/>
          <w:iCs/>
          <w:sz w:val="20"/>
          <w:szCs w:val="20"/>
        </w:rPr>
      </w:pPr>
      <w:r w:rsidRPr="000E5683">
        <w:rPr>
          <w:rFonts w:ascii="Times New Roman" w:hAnsi="Times New Roman" w:cs="Times New Roman"/>
          <w:b/>
          <w:bCs/>
          <w:i/>
          <w:iCs/>
          <w:sz w:val="20"/>
          <w:szCs w:val="20"/>
        </w:rPr>
        <w:t>2.WYDATKI</w:t>
      </w:r>
    </w:p>
    <w:p w14:paraId="63C60F84"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404E1518"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E5683">
        <w:rPr>
          <w:rFonts w:ascii="Times New Roman" w:hAnsi="Times New Roman" w:cs="Times New Roman"/>
          <w:b/>
          <w:bCs/>
          <w:sz w:val="20"/>
          <w:szCs w:val="20"/>
        </w:rPr>
        <w:t>Wydatki ogółem</w:t>
      </w:r>
    </w:p>
    <w:p w14:paraId="0E8C00E7"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2C0B66D3"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Wydatki budżetu gminy mają tendencję wzrostową. W roku 2022 nastąpi znaczny spadek wydatków czego przyczyną jest realizacja od 2022 r. wypłaty świadczenia 500+ przez ZUS, w latach następnych znów wystąpi tendencja wzrostowa. Jest to związane z realizowanymi w danym roku inwestycjami , inflacją, wprowadzanymi nowymi zadaniami, wzrostem wydatków osobowych. Jednym z elementów planowania są wskaźniki określone przez Ministra Rozwoju i Finansów.</w:t>
      </w:r>
    </w:p>
    <w:p w14:paraId="4C747C60"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2BD452E8"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Na 2022 r. planuje się zrealizować wydatki w łącznej kwocie 52 165 145,78 zł</w:t>
      </w:r>
    </w:p>
    <w:p w14:paraId="0B7D5491"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 xml:space="preserve"> </w:t>
      </w:r>
    </w:p>
    <w:p w14:paraId="622200B0"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 xml:space="preserve">Wydatki wzrastają. Jest to ogólna tendencja  związana  z polityką państwa w zakresie podatków, cen energii elektrycznej , wzrostem wynagrodzeń oraz wprowadzania do budżetu coraz to nowych zadań ,utrzymanie nowych terenów zielonych na terenie Gminy, coraz wyższe koszty utrzymania obiektów gminnych itd. </w:t>
      </w:r>
    </w:p>
    <w:p w14:paraId="4D813AC0"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71B7B748"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 xml:space="preserve">Kwota wydatków bieżących wynosi 43 606 245,75 zł, w tym największy udział stanowią wynagrodzenia </w:t>
      </w:r>
      <w:r w:rsidRPr="000E5683">
        <w:rPr>
          <w:rFonts w:ascii="Times New Roman" w:hAnsi="Times New Roman" w:cs="Times New Roman"/>
          <w:sz w:val="20"/>
          <w:szCs w:val="20"/>
        </w:rPr>
        <w:br/>
        <w:t>i pochodne w kwocie 19 450 301,90 zł,  tj. 44,60% wszystkich wydatków bieżących.</w:t>
      </w:r>
    </w:p>
    <w:p w14:paraId="2FFF35B3"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 xml:space="preserve">   </w:t>
      </w:r>
    </w:p>
    <w:p w14:paraId="6CBBE745"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sz w:val="20"/>
          <w:szCs w:val="20"/>
        </w:rPr>
      </w:pPr>
      <w:r w:rsidRPr="000E5683">
        <w:rPr>
          <w:rFonts w:ascii="Times New Roman" w:hAnsi="Times New Roman" w:cs="Times New Roman"/>
          <w:b/>
          <w:bCs/>
          <w:sz w:val="20"/>
          <w:szCs w:val="20"/>
        </w:rPr>
        <w:t>2.1.1 Obsługa długu</w:t>
      </w:r>
    </w:p>
    <w:p w14:paraId="7FA43AB3"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sz w:val="20"/>
          <w:szCs w:val="20"/>
        </w:rPr>
      </w:pPr>
    </w:p>
    <w:p w14:paraId="5A6CCFF3"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 xml:space="preserve">Przyjęto informacje wynikające z wcześniej zawartych umów kredytowych. Plan na rok 2022  r. wynosi </w:t>
      </w:r>
      <w:r w:rsidRPr="000E5683">
        <w:rPr>
          <w:rFonts w:ascii="Times New Roman" w:hAnsi="Times New Roman" w:cs="Times New Roman"/>
          <w:sz w:val="20"/>
          <w:szCs w:val="20"/>
        </w:rPr>
        <w:br/>
        <w:t>300 000,00 zł.</w:t>
      </w:r>
    </w:p>
    <w:p w14:paraId="1B727EE9"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 xml:space="preserve">W trakcie realizacji budżetu kwoty wydatków dotyczące obsługi długu często ulegają zmianom z uwagi na sposób wyliczania kosztów kredytu, których podstawa jest stawka WIBOR 3M. Na etapie planowania budżetu założono, że stawka WIBOR 3M będzie się kształtowała w okolicach 1,5 punktu procentowego, tj. na znacznie wyższym poziomie niż w roku 2021. Ze </w:t>
      </w:r>
      <w:proofErr w:type="spellStart"/>
      <w:r w:rsidRPr="000E5683">
        <w:rPr>
          <w:rFonts w:ascii="Times New Roman" w:hAnsi="Times New Roman" w:cs="Times New Roman"/>
          <w:sz w:val="20"/>
          <w:szCs w:val="20"/>
        </w:rPr>
        <w:t>wzglęgu</w:t>
      </w:r>
      <w:proofErr w:type="spellEnd"/>
      <w:r w:rsidRPr="000E5683">
        <w:rPr>
          <w:rFonts w:ascii="Times New Roman" w:hAnsi="Times New Roman" w:cs="Times New Roman"/>
          <w:sz w:val="20"/>
          <w:szCs w:val="20"/>
        </w:rPr>
        <w:t xml:space="preserve"> na fakt podnoszenia przez Radę Polityki Pieniężnej stóp procentowych planowana wysokość środków na obsługę długu może być w trakcie roku niewystarczająca stąd prowadzony jest stały monitoring sytuacji. W połowie roku konieczna będzie rewizja w górę planowanej kwoty wydatków na obsługę długu. Skala zmian na dzień dzisiejszy jest trudna do oszacowania, ze względu na dynamikę podwyżek stóp procentowych, będących podstawą wyliczenia wskaźnika WIBOR 3M. Na dzień dzisiejszy można </w:t>
      </w:r>
      <w:proofErr w:type="spellStart"/>
      <w:r w:rsidRPr="000E5683">
        <w:rPr>
          <w:rFonts w:ascii="Times New Roman" w:hAnsi="Times New Roman" w:cs="Times New Roman"/>
          <w:sz w:val="20"/>
          <w:szCs w:val="20"/>
        </w:rPr>
        <w:t>sie</w:t>
      </w:r>
      <w:proofErr w:type="spellEnd"/>
      <w:r w:rsidRPr="000E5683">
        <w:rPr>
          <w:rFonts w:ascii="Times New Roman" w:hAnsi="Times New Roman" w:cs="Times New Roman"/>
          <w:sz w:val="20"/>
          <w:szCs w:val="20"/>
        </w:rPr>
        <w:t xml:space="preserve"> spodziewać wzrostu wydatków na obsługę długu o około 50% pierwotnego planu, tj. 150 000,00 zł.</w:t>
      </w:r>
    </w:p>
    <w:p w14:paraId="127B7E20"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26A23E0F"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E5683">
        <w:rPr>
          <w:rFonts w:ascii="Times New Roman" w:hAnsi="Times New Roman" w:cs="Times New Roman"/>
          <w:b/>
          <w:bCs/>
          <w:sz w:val="20"/>
          <w:szCs w:val="20"/>
        </w:rPr>
        <w:t>2.2 Wydatki majątkowe</w:t>
      </w:r>
    </w:p>
    <w:p w14:paraId="39339446"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0ACC1E92"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Wysokość wydatków majątkowych uzależniona jest  od  możliwości finansowych  Gminy. Inwestycje powinny być finansowane w dużej części z dochodów zewnętrznych , następnie dochodów własnych a brakujące kwoty winny obciążać zadłużenie.</w:t>
      </w:r>
    </w:p>
    <w:p w14:paraId="53BD720C"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Łączna kwota wydatków majątkowych wynosi: 8 558 900,03 zł. W roku 2022 planowane jest finansowanie inwestycji ze:</w:t>
      </w:r>
    </w:p>
    <w:p w14:paraId="25CD1A3E"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środków zewnętrznych   4 379 491,86 zł,</w:t>
      </w:r>
    </w:p>
    <w:p w14:paraId="487474DF"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środków własnych          2 379 408,17 zł,</w:t>
      </w:r>
    </w:p>
    <w:p w14:paraId="36B45944"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lastRenderedPageBreak/>
        <w:t>kredyt ów                        1 800 000,00 zł.</w:t>
      </w:r>
    </w:p>
    <w:p w14:paraId="3FD15FC4"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p>
    <w:p w14:paraId="5E53C8C7"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E5683">
        <w:rPr>
          <w:rFonts w:ascii="Times New Roman" w:hAnsi="Times New Roman" w:cs="Times New Roman"/>
          <w:b/>
          <w:bCs/>
          <w:sz w:val="20"/>
          <w:szCs w:val="20"/>
        </w:rPr>
        <w:t>3. Wynik budżetu</w:t>
      </w:r>
    </w:p>
    <w:p w14:paraId="4F4A6DAF"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755EA1EC"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W roku 2022 zaplanowano deficyt w wysokości 3 663 319,73 zł. Pokryciem deficytu będzie kredyt zaciągnięty w banku komercyjnym w wysokości 1 800 000,00 zł oraz wolne środki określone w paragrafie 905 w wysokości 1863319,73 zł.</w:t>
      </w:r>
    </w:p>
    <w:p w14:paraId="4A76C249"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Planowany deficyt pozwoli na realizacje zadań inwestycyjnych, na które nie można pozyskać środków zewnętrznych, lub są one w zbyt małym udziale.</w:t>
      </w:r>
    </w:p>
    <w:p w14:paraId="4908458F"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Od roku 2023  -  2029 planowana jest nadwyżka, która pozwoli na spłaty wcześniej zaciągniętych kredytów, bez konieczności zaciągania kolejnych zobowiązań na ich spłatę.</w:t>
      </w:r>
    </w:p>
    <w:p w14:paraId="5D614D06"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78D4C35B"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W poszczególnych latach prognozy spełnione są wskaźniki zobowiązań określone w art. 243 ustawy o finansach publicznych. Jednakże od 2022 r. gmina planuje stosować 7 letni okres do wyliczania wskaźników określonych w art. 243 ustawy o finansach publicznych. Ostateczna decyzja w tej sprawie zostanie podjęta przed uchwaleniem uchwały budżetowej na 2022 r.</w:t>
      </w:r>
    </w:p>
    <w:p w14:paraId="155774A5"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p>
    <w:p w14:paraId="572297B6" w14:textId="77777777" w:rsidR="000E5683" w:rsidRPr="000E5683" w:rsidRDefault="000E5683" w:rsidP="000E56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b/>
          <w:bCs/>
          <w:sz w:val="20"/>
          <w:szCs w:val="20"/>
        </w:rPr>
      </w:pPr>
      <w:r w:rsidRPr="000E5683">
        <w:rPr>
          <w:rFonts w:ascii="Times New Roman" w:hAnsi="Times New Roman" w:cs="Times New Roman"/>
          <w:b/>
          <w:bCs/>
          <w:sz w:val="20"/>
          <w:szCs w:val="20"/>
        </w:rPr>
        <w:t xml:space="preserve">4. Przychody  i rozchody budżetu </w:t>
      </w:r>
    </w:p>
    <w:p w14:paraId="6522FCAD" w14:textId="77777777" w:rsidR="000E5683" w:rsidRPr="000E5683" w:rsidRDefault="000E5683" w:rsidP="000E56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sz w:val="20"/>
          <w:szCs w:val="20"/>
        </w:rPr>
      </w:pPr>
      <w:r w:rsidRPr="000E5683">
        <w:rPr>
          <w:rFonts w:ascii="Times New Roman" w:hAnsi="Times New Roman" w:cs="Times New Roman"/>
          <w:sz w:val="20"/>
          <w:szCs w:val="20"/>
        </w:rPr>
        <w:t>WPF to dokument planistyczny obejmujący</w:t>
      </w:r>
      <w:r w:rsidRPr="000E5683">
        <w:rPr>
          <w:rFonts w:ascii="Times New Roman" w:hAnsi="Times New Roman" w:cs="Times New Roman"/>
          <w:b/>
          <w:bCs/>
          <w:sz w:val="20"/>
          <w:szCs w:val="20"/>
        </w:rPr>
        <w:t xml:space="preserve"> </w:t>
      </w:r>
      <w:r w:rsidRPr="000E5683">
        <w:rPr>
          <w:rFonts w:ascii="Times New Roman" w:hAnsi="Times New Roman" w:cs="Times New Roman"/>
          <w:sz w:val="20"/>
          <w:szCs w:val="20"/>
        </w:rPr>
        <w:t>prognozy budżetów gminy na lata 2022-29 niezbędny do  prowadzenia polityki finansowej gminy  w sposób gwarantujący bezpieczeństwo finansowe Gminy   oraz  działania  w zakresie finansów zgodne z ustawą o finansach publicznych.</w:t>
      </w:r>
    </w:p>
    <w:p w14:paraId="0A4477B4" w14:textId="77777777" w:rsidR="000E5683" w:rsidRPr="000E5683" w:rsidRDefault="000E5683" w:rsidP="000E56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sz w:val="20"/>
          <w:szCs w:val="20"/>
        </w:rPr>
      </w:pPr>
      <w:r w:rsidRPr="000E5683">
        <w:rPr>
          <w:rFonts w:ascii="Times New Roman" w:hAnsi="Times New Roman" w:cs="Times New Roman"/>
          <w:sz w:val="20"/>
          <w:szCs w:val="20"/>
        </w:rPr>
        <w:t xml:space="preserve">WPF zawiera podstawowe parametry budżetowe w tym  wysokość zobowiązań, planowane spłaty i wyliczenia wskaźników- gwarantujących bezpieczeństwo finansowe. </w:t>
      </w:r>
    </w:p>
    <w:p w14:paraId="7FB0FBB8" w14:textId="77777777" w:rsidR="000E5683" w:rsidRPr="000E5683" w:rsidRDefault="000E5683" w:rsidP="000E56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sz w:val="20"/>
          <w:szCs w:val="20"/>
        </w:rPr>
      </w:pPr>
      <w:r w:rsidRPr="000E5683">
        <w:rPr>
          <w:rFonts w:ascii="Times New Roman" w:hAnsi="Times New Roman" w:cs="Times New Roman"/>
          <w:sz w:val="20"/>
          <w:szCs w:val="20"/>
        </w:rPr>
        <w:t>W roku 2022 planowany jest nowy kredyt w wysokości  3 500 000,00 zł. Jest to przychód Gminy zwiększający dług. Część planowanego kredytu, w wysokości 1 800 000,00 zł, będzie przeznaczona na sfinansowanie planowanego deficytu budżetu gminy. Pozostała kwota jest przeznaczona na spłatę wcześniej zaciągniętego zadłużenia.</w:t>
      </w:r>
    </w:p>
    <w:p w14:paraId="43B5BF0D" w14:textId="77777777" w:rsidR="000E5683" w:rsidRPr="000E5683" w:rsidRDefault="000E5683" w:rsidP="000E56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sz w:val="20"/>
          <w:szCs w:val="20"/>
        </w:rPr>
      </w:pPr>
      <w:r w:rsidRPr="000E5683">
        <w:rPr>
          <w:rFonts w:ascii="Times New Roman" w:hAnsi="Times New Roman" w:cs="Times New Roman"/>
          <w:sz w:val="20"/>
          <w:szCs w:val="20"/>
        </w:rPr>
        <w:t>Z uwagi na planowane nadwyżki w latach następnych nowe  przychody z tytułu kredytów i pożyczek nie są planowane.</w:t>
      </w:r>
    </w:p>
    <w:p w14:paraId="2E6F1D48" w14:textId="77777777" w:rsidR="000E5683" w:rsidRPr="000E5683" w:rsidRDefault="000E5683" w:rsidP="000E56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sz w:val="20"/>
          <w:szCs w:val="20"/>
        </w:rPr>
      </w:pPr>
      <w:r w:rsidRPr="000E5683">
        <w:rPr>
          <w:rFonts w:ascii="Times New Roman" w:hAnsi="Times New Roman" w:cs="Times New Roman"/>
          <w:sz w:val="20"/>
          <w:szCs w:val="20"/>
        </w:rPr>
        <w:t>Na dzień 31.12.2022 r. planowane jest zadłużenie z tytułu pożyczek i kredytów w wysokości 14 744 324,38 zł.</w:t>
      </w:r>
    </w:p>
    <w:p w14:paraId="77C31889" w14:textId="77777777" w:rsidR="000E5683" w:rsidRPr="000E5683" w:rsidRDefault="000E5683" w:rsidP="000E56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E5683">
        <w:rPr>
          <w:rFonts w:ascii="Times New Roman" w:hAnsi="Times New Roman" w:cs="Times New Roman"/>
          <w:sz w:val="20"/>
          <w:szCs w:val="20"/>
        </w:rPr>
        <w:t xml:space="preserve">                                        </w:t>
      </w:r>
    </w:p>
    <w:p w14:paraId="1291479E"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sz w:val="20"/>
          <w:szCs w:val="20"/>
        </w:rPr>
      </w:pPr>
      <w:r w:rsidRPr="000E5683">
        <w:rPr>
          <w:rFonts w:ascii="Times New Roman" w:hAnsi="Times New Roman" w:cs="Times New Roman"/>
          <w:b/>
          <w:bCs/>
          <w:sz w:val="20"/>
          <w:szCs w:val="20"/>
        </w:rPr>
        <w:t>5. Pozostałe wydatki</w:t>
      </w:r>
    </w:p>
    <w:p w14:paraId="6A753803"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sz w:val="20"/>
          <w:szCs w:val="20"/>
        </w:rPr>
      </w:pPr>
    </w:p>
    <w:p w14:paraId="2DF2AD19"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0E5683">
        <w:rPr>
          <w:rFonts w:ascii="Times New Roman" w:hAnsi="Times New Roman" w:cs="Times New Roman"/>
          <w:sz w:val="20"/>
          <w:szCs w:val="20"/>
        </w:rPr>
        <w:t xml:space="preserve">Są to wydatki związane z wykonywaniem zadań statutowych przez jednostki organizacyjne gminy, wydatki na utrzymanie i eksploatację istniejących i oddawanych do użytku nowych obiektów, remonty. Wydatki te mają </w:t>
      </w:r>
      <w:r w:rsidRPr="000E5683">
        <w:rPr>
          <w:rFonts w:ascii="Times New Roman" w:hAnsi="Times New Roman" w:cs="Times New Roman"/>
          <w:sz w:val="20"/>
          <w:szCs w:val="20"/>
        </w:rPr>
        <w:br/>
        <w:t>z roku na rok tendencję rosnącą znacznie ponad stopień inflacji.</w:t>
      </w:r>
    </w:p>
    <w:p w14:paraId="51E76209"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0E5683">
        <w:rPr>
          <w:rFonts w:ascii="Times New Roman" w:hAnsi="Times New Roman" w:cs="Times New Roman"/>
          <w:sz w:val="20"/>
          <w:szCs w:val="20"/>
        </w:rPr>
        <w:t xml:space="preserve">Największy udział w tej kategorii wydatków zajmują wydatki na wynagrodzenia i pochodne w kwocie </w:t>
      </w:r>
      <w:r w:rsidRPr="000E5683">
        <w:rPr>
          <w:rFonts w:ascii="Times New Roman" w:hAnsi="Times New Roman" w:cs="Times New Roman"/>
          <w:sz w:val="20"/>
          <w:szCs w:val="20"/>
        </w:rPr>
        <w:br/>
        <w:t>19 450 301,90 zł.</w:t>
      </w:r>
    </w:p>
    <w:p w14:paraId="34A8D7D3"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0E5683">
        <w:rPr>
          <w:rFonts w:ascii="Times New Roman" w:hAnsi="Times New Roman" w:cs="Times New Roman"/>
          <w:sz w:val="20"/>
          <w:szCs w:val="20"/>
        </w:rPr>
        <w:t>W 2022 r. planuje się spłatę długu w wysokości 36,90 zł wydatkami. Są to wydatki związane z zakupem tel. na raty.</w:t>
      </w:r>
    </w:p>
    <w:p w14:paraId="4C6C8A5A"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p>
    <w:p w14:paraId="7B046A38"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sz w:val="20"/>
          <w:szCs w:val="20"/>
        </w:rPr>
      </w:pPr>
      <w:r w:rsidRPr="000E5683">
        <w:rPr>
          <w:rFonts w:ascii="Times New Roman" w:hAnsi="Times New Roman" w:cs="Times New Roman"/>
          <w:b/>
          <w:bCs/>
          <w:sz w:val="20"/>
          <w:szCs w:val="20"/>
        </w:rPr>
        <w:t>6. Relacja zrównoważenia wydatków bieżących</w:t>
      </w:r>
    </w:p>
    <w:p w14:paraId="736BEA24"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sz w:val="20"/>
          <w:szCs w:val="20"/>
        </w:rPr>
      </w:pPr>
    </w:p>
    <w:p w14:paraId="0E025467"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E5683">
        <w:rPr>
          <w:rFonts w:ascii="Times New Roman" w:hAnsi="Times New Roman" w:cs="Times New Roman"/>
          <w:sz w:val="20"/>
          <w:szCs w:val="20"/>
        </w:rPr>
        <w:t>Planowany budżet spełnia wymogi zawarte w art. 242 ustawy o finansach publicznych, który stanowi, że planowane wydatki bieżące nie mogą być wyższe niż planowane dochody bieżące powiększone o nadwyżkę budżetową z lat ubiegłych i wolne środki.</w:t>
      </w:r>
    </w:p>
    <w:p w14:paraId="0A6CA77F"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sz w:val="20"/>
          <w:szCs w:val="20"/>
        </w:rPr>
      </w:pPr>
    </w:p>
    <w:p w14:paraId="05626FD5"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E5683">
        <w:rPr>
          <w:rFonts w:ascii="Times New Roman" w:hAnsi="Times New Roman" w:cs="Times New Roman"/>
          <w:sz w:val="20"/>
          <w:szCs w:val="20"/>
        </w:rPr>
        <w:t>Objaśnienie do WPF</w:t>
      </w:r>
    </w:p>
    <w:p w14:paraId="2C68F6CD" w14:textId="77777777" w:rsidR="000E5683" w:rsidRPr="000E5683" w:rsidRDefault="000E5683" w:rsidP="000E56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0E5683">
        <w:rPr>
          <w:rFonts w:ascii="Times New Roman" w:hAnsi="Times New Roman" w:cs="Times New Roman"/>
          <w:sz w:val="20"/>
          <w:szCs w:val="20"/>
        </w:rPr>
        <w:t xml:space="preserve">Do wykazu przedsięwzięć wprowadzono zadania wieloletnie, które wynikają z wcześniej zawartych umów </w:t>
      </w:r>
      <w:r w:rsidRPr="000E5683">
        <w:rPr>
          <w:rFonts w:ascii="Times New Roman" w:hAnsi="Times New Roman" w:cs="Times New Roman"/>
          <w:sz w:val="20"/>
          <w:szCs w:val="20"/>
        </w:rPr>
        <w:br/>
        <w:t xml:space="preserve">i planów inwestycyjnych Gminy. </w:t>
      </w:r>
    </w:p>
    <w:p w14:paraId="51D0E7B2" w14:textId="77777777" w:rsidR="000E5683" w:rsidRPr="000E5683" w:rsidRDefault="000E5683" w:rsidP="000E5683">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76" w:lineRule="auto"/>
        <w:ind w:left="283" w:hanging="283"/>
        <w:jc w:val="both"/>
        <w:rPr>
          <w:rFonts w:ascii="Times New Roman" w:hAnsi="Times New Roman" w:cs="Times New Roman"/>
          <w:sz w:val="20"/>
          <w:szCs w:val="20"/>
        </w:rPr>
      </w:pPr>
      <w:r w:rsidRPr="000E5683">
        <w:rPr>
          <w:rFonts w:ascii="Times New Roman" w:hAnsi="Times New Roman" w:cs="Times New Roman"/>
          <w:sz w:val="20"/>
          <w:szCs w:val="20"/>
        </w:rPr>
        <w:t xml:space="preserve">Planowane przedsięwzięcia dotyczą zarówno zadań inwestycyjnych jak i bieżących. </w:t>
      </w:r>
    </w:p>
    <w:p w14:paraId="56556D9B" w14:textId="77777777" w:rsidR="000E5683" w:rsidRPr="000E5683" w:rsidRDefault="000E5683" w:rsidP="000E5683">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76" w:lineRule="auto"/>
        <w:ind w:left="283" w:hanging="283"/>
        <w:jc w:val="both"/>
        <w:rPr>
          <w:rFonts w:ascii="Times New Roman" w:hAnsi="Times New Roman" w:cs="Times New Roman"/>
          <w:sz w:val="20"/>
          <w:szCs w:val="20"/>
        </w:rPr>
      </w:pPr>
      <w:r w:rsidRPr="000E5683">
        <w:rPr>
          <w:rFonts w:ascii="Times New Roman" w:hAnsi="Times New Roman" w:cs="Times New Roman"/>
          <w:sz w:val="20"/>
          <w:szCs w:val="20"/>
        </w:rPr>
        <w:t>Przedsięwzięcia na wydatki bieżące dotyczą  bieżącej działalności jednostek organizacyjnych Gminy.</w:t>
      </w:r>
    </w:p>
    <w:p w14:paraId="265ABA43" w14:textId="77777777" w:rsidR="000E5683" w:rsidRPr="000E5683" w:rsidRDefault="000E5683" w:rsidP="000E5683">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76" w:lineRule="auto"/>
        <w:ind w:left="283" w:hanging="283"/>
        <w:rPr>
          <w:rFonts w:ascii="Times New Roman" w:hAnsi="Times New Roman" w:cs="Times New Roman"/>
          <w:sz w:val="20"/>
          <w:szCs w:val="20"/>
        </w:rPr>
      </w:pPr>
    </w:p>
    <w:p w14:paraId="1FA80D7C" w14:textId="77777777" w:rsidR="00690029" w:rsidRDefault="00690029"/>
    <w:sectPr w:rsidR="00690029" w:rsidSect="007825DA">
      <w:pgSz w:w="12240" w:h="15840"/>
      <w:pgMar w:top="1417" w:right="1417" w:bottom="1417" w:left="1417"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AEF"/>
    <w:rsid w:val="000E5683"/>
    <w:rsid w:val="00193AEF"/>
    <w:rsid w:val="00202F78"/>
    <w:rsid w:val="00227F16"/>
    <w:rsid w:val="00486654"/>
    <w:rsid w:val="006900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0BBDED-7E8F-4DA4-97EE-679573B14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1785</Words>
  <Characters>10711</Characters>
  <Application>Microsoft Office Word</Application>
  <DocSecurity>0</DocSecurity>
  <Lines>89</Lines>
  <Paragraphs>24</Paragraphs>
  <ScaleCrop>false</ScaleCrop>
  <Company/>
  <LinksUpToDate>false</LinksUpToDate>
  <CharactersWithSpaces>12472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Żebrowski</dc:creator>
  <cp:keywords/>
  <dc:description/>
  <cp:lastModifiedBy>Marcin Żebrowski</cp:lastModifiedBy>
  <cp:revision>2</cp:revision>
  <dcterms:created xsi:type="dcterms:W3CDTF">2022-03-30T11:48:00Z</dcterms:created>
  <dcterms:modified xsi:type="dcterms:W3CDTF">2022-03-30T11:48:00Z</dcterms:modified>
</cp:coreProperties>
</file>