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ECEA" w14:textId="77777777" w:rsidR="00F42959" w:rsidRDefault="00C92330">
      <w:pPr>
        <w:spacing w:after="0" w:line="240" w:lineRule="auto"/>
        <w:rPr>
          <w:rFonts w:ascii="Segoe UI Light" w:hAnsi="Segoe UI Light" w:cs="Segoe UI Light"/>
          <w:b/>
          <w:bCs/>
          <w:lang w:eastAsia="pl-PL"/>
        </w:rPr>
      </w:pPr>
      <w:r>
        <w:rPr>
          <w:rFonts w:ascii="Segoe UI Light" w:hAnsi="Segoe UI Light" w:cs="Segoe UI Light"/>
          <w:b/>
          <w:bCs/>
          <w:noProof/>
          <w:lang w:eastAsia="pl-PL"/>
        </w:rPr>
        <w:drawing>
          <wp:anchor distT="0" distB="0" distL="114935" distR="114935" simplePos="0" relativeHeight="3" behindDoc="0" locked="0" layoutInCell="1" allowOverlap="1" wp14:anchorId="24D428F2" wp14:editId="7A339C29">
            <wp:simplePos x="0" y="0"/>
            <wp:positionH relativeFrom="margin">
              <wp:posOffset>5241925</wp:posOffset>
            </wp:positionH>
            <wp:positionV relativeFrom="margin">
              <wp:posOffset>189865</wp:posOffset>
            </wp:positionV>
            <wp:extent cx="769620" cy="928370"/>
            <wp:effectExtent l="0" t="0" r="0" b="0"/>
            <wp:wrapSquare wrapText="bothSides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34" t="-193" r="-234" b="-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6B92D7" w14:textId="77777777" w:rsidR="00F42959" w:rsidRDefault="00C92330">
      <w:pPr>
        <w:spacing w:after="0" w:line="240" w:lineRule="auto"/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</w:rPr>
        <w:t>BURMISTRZ MIASTA I GMINY GÓRA KALWARIA</w:t>
      </w:r>
    </w:p>
    <w:p w14:paraId="18ED2709" w14:textId="77777777" w:rsidR="00F42959" w:rsidRDefault="00C92330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>
        <w:rPr>
          <w:rFonts w:ascii="Segoe UI Light" w:hAnsi="Segoe UI Light" w:cs="Segoe UI Light"/>
          <w:sz w:val="16"/>
          <w:szCs w:val="16"/>
        </w:rPr>
        <w:t>ul. 3 Maja 10, 05-530 Góra Kalwaria</w:t>
      </w:r>
    </w:p>
    <w:p w14:paraId="5CFF5185" w14:textId="77777777" w:rsidR="00F42959" w:rsidRDefault="00C92330">
      <w:pPr>
        <w:spacing w:after="0" w:line="240" w:lineRule="auto"/>
        <w:rPr>
          <w:rFonts w:ascii="Segoe UI Light" w:hAnsi="Segoe UI Light" w:cs="Segoe UI Ligh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8FABF57" wp14:editId="368B3C8E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4990465" cy="12700"/>
                <wp:effectExtent l="0" t="0" r="0" b="0"/>
                <wp:wrapNone/>
                <wp:docPr id="2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89960" cy="396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5.7pt" to="392.85pt,15.95pt" ID="Łącznik prosty 4" stroked="t" style="position:absolute;flip:x">
                <v:stroke color="#4472c4" weight="6480" joinstyle="miter" endcap="flat"/>
                <v:fill o:detectmouseclick="t" on="false"/>
              </v:line>
            </w:pict>
          </mc:Fallback>
        </mc:AlternateContent>
      </w:r>
      <w:r>
        <w:rPr>
          <w:rFonts w:ascii="Segoe UI Light" w:hAnsi="Segoe UI Light" w:cs="Segoe UI Light"/>
          <w:sz w:val="16"/>
          <w:szCs w:val="16"/>
        </w:rPr>
        <w:t>www.bip.gorakalwaria.pl</w:t>
      </w:r>
    </w:p>
    <w:p w14:paraId="4E1ACBF3" w14:textId="77777777" w:rsidR="00E27B8D" w:rsidRDefault="00C92330">
      <w:pPr>
        <w:spacing w:after="0" w:line="240" w:lineRule="auto"/>
        <w:jc w:val="right"/>
        <w:rPr>
          <w:rFonts w:ascii="Segoe UI Light" w:hAnsi="Segoe UI Light" w:cs="Segoe UI Light"/>
          <w:b/>
          <w:bCs/>
          <w:sz w:val="16"/>
          <w:szCs w:val="16"/>
        </w:rPr>
      </w:pP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  <w:t xml:space="preserve">         </w:t>
      </w:r>
    </w:p>
    <w:p w14:paraId="477E9F3A" w14:textId="68AC618D" w:rsidR="00F42959" w:rsidRPr="00467917" w:rsidRDefault="00E27B8D" w:rsidP="00467917">
      <w:pPr>
        <w:spacing w:after="0" w:line="240" w:lineRule="auto"/>
        <w:rPr>
          <w:rStyle w:val="Pogrubienie"/>
          <w:b w:val="0"/>
          <w:bCs w:val="0"/>
        </w:rPr>
      </w:pP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</w:r>
      <w:r>
        <w:rPr>
          <w:rFonts w:ascii="Segoe UI Light" w:hAnsi="Segoe UI Light" w:cs="Segoe UI Light"/>
          <w:b/>
          <w:bCs/>
          <w:sz w:val="16"/>
          <w:szCs w:val="16"/>
        </w:rPr>
        <w:tab/>
        <w:t xml:space="preserve">                                                     </w:t>
      </w:r>
      <w:r w:rsidR="00C92330">
        <w:rPr>
          <w:rFonts w:ascii="Segoe UI Light" w:hAnsi="Segoe UI Light" w:cs="Segoe UI Light"/>
          <w:b/>
          <w:bCs/>
          <w:sz w:val="16"/>
          <w:szCs w:val="16"/>
        </w:rPr>
        <w:t>WYDZIAŁ GOSPODAROWANIA MIENIEM I GEODEZJI</w:t>
      </w:r>
      <w:r w:rsidR="00C92330">
        <w:rPr>
          <w:rStyle w:val="Pogrubienie"/>
          <w:rFonts w:ascii="Segoe UI Light" w:hAnsi="Segoe UI Light"/>
        </w:rPr>
        <w:tab/>
      </w:r>
      <w:r w:rsidR="00C92330">
        <w:rPr>
          <w:rStyle w:val="Pogrubienie"/>
          <w:rFonts w:ascii="Segoe UI Light" w:hAnsi="Segoe UI Light"/>
        </w:rPr>
        <w:tab/>
      </w:r>
      <w:r w:rsidR="00C92330">
        <w:rPr>
          <w:rStyle w:val="Pogrubienie"/>
          <w:rFonts w:ascii="Segoe UI Light" w:hAnsi="Segoe UI Light"/>
        </w:rPr>
        <w:tab/>
      </w:r>
    </w:p>
    <w:p w14:paraId="63A01190" w14:textId="13B0AD9B" w:rsidR="00F42959" w:rsidRPr="00656198" w:rsidRDefault="00C92330" w:rsidP="00656198">
      <w:pPr>
        <w:pStyle w:val="NormalnyWeb"/>
        <w:spacing w:beforeAutospacing="0" w:after="280"/>
        <w:jc w:val="both"/>
        <w:rPr>
          <w:rStyle w:val="Mocnowyrniony"/>
          <w:rFonts w:ascii="Segoe UI Light" w:hAnsi="Segoe UI Light" w:cs="Segoe UI Light"/>
          <w:b w:val="0"/>
          <w:bCs w:val="0"/>
          <w:sz w:val="22"/>
          <w:szCs w:val="22"/>
        </w:rPr>
      </w:pPr>
      <w:bookmarkStart w:id="0" w:name="__DdeLink__3534_258089183"/>
      <w:r w:rsidRPr="007A0E99">
        <w:rPr>
          <w:rStyle w:val="Pogrubienie"/>
          <w:rFonts w:ascii="Segoe UI Light" w:hAnsi="Segoe UI Light" w:cs="Segoe UI Light"/>
          <w:sz w:val="22"/>
          <w:szCs w:val="22"/>
        </w:rPr>
        <w:t>G</w:t>
      </w:r>
      <w:r w:rsidR="00E6717F" w:rsidRPr="007A0E99">
        <w:rPr>
          <w:rStyle w:val="Pogrubienie"/>
          <w:rFonts w:ascii="Segoe UI Light" w:hAnsi="Segoe UI Light" w:cs="Segoe UI Light"/>
          <w:sz w:val="22"/>
          <w:szCs w:val="22"/>
        </w:rPr>
        <w:t>M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>.6840.</w:t>
      </w:r>
      <w:r w:rsidR="00E90527">
        <w:rPr>
          <w:rStyle w:val="Pogrubienie"/>
          <w:rFonts w:ascii="Segoe UI Light" w:hAnsi="Segoe UI Light" w:cs="Segoe UI Light"/>
          <w:sz w:val="22"/>
          <w:szCs w:val="22"/>
        </w:rPr>
        <w:t>1</w:t>
      </w:r>
      <w:r w:rsidR="0049417C">
        <w:rPr>
          <w:rStyle w:val="Pogrubienie"/>
          <w:rFonts w:ascii="Segoe UI Light" w:hAnsi="Segoe UI Light" w:cs="Segoe UI Light"/>
          <w:sz w:val="22"/>
          <w:szCs w:val="22"/>
        </w:rPr>
        <w:t>4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>.202</w:t>
      </w:r>
      <w:r w:rsidR="00425CD4">
        <w:rPr>
          <w:rStyle w:val="Pogrubienie"/>
          <w:rFonts w:ascii="Segoe UI Light" w:hAnsi="Segoe UI Light" w:cs="Segoe UI Light"/>
          <w:sz w:val="22"/>
          <w:szCs w:val="22"/>
        </w:rPr>
        <w:t>3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>.IM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  <w:t xml:space="preserve">          </w:t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  <w:t xml:space="preserve"> </w:t>
      </w:r>
      <w:bookmarkEnd w:id="0"/>
    </w:p>
    <w:p w14:paraId="0ECEBCA6" w14:textId="77777777" w:rsidR="00F42959" w:rsidRPr="007A0E99" w:rsidRDefault="00C92330" w:rsidP="00723282">
      <w:pPr>
        <w:pStyle w:val="NormalnyWeb"/>
        <w:spacing w:beforeAutospacing="0" w:after="28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</w:rPr>
        <w:tab/>
        <w:t>BURMISTRZ MIASTA I GMINY GÓRA KALWARIA</w:t>
      </w:r>
    </w:p>
    <w:p w14:paraId="684DE7AF" w14:textId="6ED23977" w:rsidR="006739AA" w:rsidRDefault="00C92330" w:rsidP="00425CD4">
      <w:pPr>
        <w:pStyle w:val="NormalnyWeb"/>
        <w:spacing w:after="0" w:line="276" w:lineRule="auto"/>
        <w:jc w:val="both"/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 xml:space="preserve">ogłasza </w:t>
      </w:r>
      <w:bookmarkStart w:id="1" w:name="_Hlk143086026"/>
      <w:r w:rsidR="00425CD4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pierwszy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 xml:space="preserve"> przetarg ustny ograniczony na sprzedaż prawa własności </w:t>
      </w:r>
      <w:bookmarkEnd w:id="1"/>
      <w:r w:rsidR="0049417C">
        <w:rPr>
          <w:rFonts w:ascii="Segoe UI Light" w:hAnsi="Segoe UI Light" w:cs="Segoe UI Light"/>
          <w:bCs/>
          <w:sz w:val="22"/>
          <w:szCs w:val="22"/>
        </w:rPr>
        <w:t>u</w:t>
      </w:r>
      <w:r w:rsidR="0049417C" w:rsidRPr="0049417C">
        <w:rPr>
          <w:rFonts w:ascii="Segoe UI Light" w:hAnsi="Segoe UI Light" w:cs="Segoe UI Light"/>
          <w:bCs/>
          <w:sz w:val="22"/>
          <w:szCs w:val="22"/>
        </w:rPr>
        <w:t>dział</w:t>
      </w:r>
      <w:r w:rsidR="0049417C">
        <w:rPr>
          <w:rFonts w:ascii="Segoe UI Light" w:hAnsi="Segoe UI Light" w:cs="Segoe UI Light"/>
          <w:bCs/>
          <w:sz w:val="22"/>
          <w:szCs w:val="22"/>
        </w:rPr>
        <w:t>u</w:t>
      </w:r>
      <w:r w:rsidR="0049417C" w:rsidRPr="0049417C">
        <w:rPr>
          <w:rFonts w:ascii="Segoe UI Light" w:hAnsi="Segoe UI Light" w:cs="Segoe UI Light"/>
          <w:bCs/>
          <w:sz w:val="22"/>
          <w:szCs w:val="22"/>
        </w:rPr>
        <w:t xml:space="preserve"> wynosząc</w:t>
      </w:r>
      <w:r w:rsidR="0049417C">
        <w:rPr>
          <w:rFonts w:ascii="Segoe UI Light" w:hAnsi="Segoe UI Light" w:cs="Segoe UI Light"/>
          <w:bCs/>
          <w:sz w:val="22"/>
          <w:szCs w:val="22"/>
        </w:rPr>
        <w:t>ego</w:t>
      </w:r>
      <w:r w:rsidR="0049417C" w:rsidRPr="0049417C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="0049417C" w:rsidRPr="008E5455">
        <w:rPr>
          <w:rFonts w:ascii="Segoe UI Light" w:hAnsi="Segoe UI Light" w:cs="Segoe UI Light"/>
          <w:b/>
          <w:sz w:val="22"/>
          <w:szCs w:val="22"/>
        </w:rPr>
        <w:t>2/46 części zabudowanej nieruchomości oznaczonej jako dz.nr 155/9 o pow. 0,2341</w:t>
      </w:r>
      <w:r w:rsidR="0049417C" w:rsidRPr="0049417C">
        <w:rPr>
          <w:rFonts w:ascii="Segoe UI Light" w:hAnsi="Segoe UI Light" w:cs="Segoe UI Light"/>
          <w:bCs/>
          <w:sz w:val="22"/>
          <w:szCs w:val="22"/>
        </w:rPr>
        <w:t xml:space="preserve"> ha przy ul. Łubińskiej 2 z obrębu Łubna</w:t>
      </w:r>
      <w:r w:rsidR="008E5455">
        <w:rPr>
          <w:rFonts w:ascii="Segoe UI Light" w:hAnsi="Segoe UI Light" w:cs="Segoe UI Light"/>
          <w:bCs/>
          <w:sz w:val="22"/>
          <w:szCs w:val="22"/>
        </w:rPr>
        <w:t xml:space="preserve"> oraz u</w:t>
      </w:r>
      <w:r w:rsidR="008E5455" w:rsidRPr="008E5455">
        <w:rPr>
          <w:rFonts w:ascii="Segoe UI Light" w:hAnsi="Segoe UI Light" w:cs="Segoe UI Light"/>
          <w:bCs/>
          <w:sz w:val="22"/>
          <w:szCs w:val="22"/>
        </w:rPr>
        <w:t>dział</w:t>
      </w:r>
      <w:r w:rsidR="008E5455">
        <w:rPr>
          <w:rFonts w:ascii="Segoe UI Light" w:hAnsi="Segoe UI Light" w:cs="Segoe UI Light"/>
          <w:bCs/>
          <w:sz w:val="22"/>
          <w:szCs w:val="22"/>
        </w:rPr>
        <w:t>u</w:t>
      </w:r>
      <w:r w:rsidR="008E5455" w:rsidRPr="008E5455">
        <w:rPr>
          <w:rFonts w:ascii="Segoe UI Light" w:hAnsi="Segoe UI Light" w:cs="Segoe UI Light"/>
          <w:bCs/>
          <w:sz w:val="22"/>
          <w:szCs w:val="22"/>
        </w:rPr>
        <w:t xml:space="preserve"> wynosząc</w:t>
      </w:r>
      <w:r w:rsidR="008E5455">
        <w:rPr>
          <w:rFonts w:ascii="Segoe UI Light" w:hAnsi="Segoe UI Light" w:cs="Segoe UI Light"/>
          <w:bCs/>
          <w:sz w:val="22"/>
          <w:szCs w:val="22"/>
        </w:rPr>
        <w:t>ego</w:t>
      </w:r>
      <w:r w:rsidR="008E5455" w:rsidRPr="008E5455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="008E5455" w:rsidRPr="008E5455">
        <w:rPr>
          <w:rFonts w:ascii="Segoe UI Light" w:hAnsi="Segoe UI Light" w:cs="Segoe UI Light"/>
          <w:b/>
          <w:sz w:val="22"/>
          <w:szCs w:val="22"/>
        </w:rPr>
        <w:t>2/46 części nieruchomości oznaczonej jako dz.nr 155/17 o pow. 0,0656 ha</w:t>
      </w:r>
      <w:r w:rsidR="008E5455" w:rsidRPr="008E5455">
        <w:rPr>
          <w:rFonts w:ascii="Segoe UI Light" w:hAnsi="Segoe UI Light" w:cs="Segoe UI Light"/>
          <w:bCs/>
          <w:sz w:val="22"/>
          <w:szCs w:val="22"/>
        </w:rPr>
        <w:t xml:space="preserve"> z obrębu Łubna</w:t>
      </w:r>
      <w:r w:rsidR="008E5455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="00185E6E">
        <w:rPr>
          <w:rStyle w:val="Pogrubienie"/>
          <w:rFonts w:ascii="Segoe UI Light" w:hAnsi="Segoe UI Light" w:cs="Segoe UI Light"/>
          <w:b w:val="0"/>
          <w:sz w:val="22"/>
          <w:szCs w:val="22"/>
        </w:rPr>
        <w:t xml:space="preserve">, </w:t>
      </w:r>
      <w:r w:rsidRPr="007A0E99">
        <w:rPr>
          <w:rStyle w:val="Mocnowyrniony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d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ziałając na podstawie ustawy z dnia 21 sierpnia 1997 r. o gospodarce nieruchomościami </w:t>
      </w:r>
      <w:bookmarkStart w:id="2" w:name="__DdeLink__2639_2206663936"/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(Dz.U z</w:t>
      </w:r>
      <w:r w:rsidR="003807FC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202</w:t>
      </w:r>
      <w:r w:rsidR="003807FC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3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r. poz. </w:t>
      </w:r>
      <w:r w:rsidR="003807FC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344</w:t>
      </w:r>
      <w:r w:rsidR="00852F0A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ze zm.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)</w:t>
      </w:r>
      <w:bookmarkEnd w:id="2"/>
      <w:r w:rsid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,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Rozporządzenia Rady Ministrów z dnia 14 września 2004 r. w sprawie sposobu i trybu przeprowadzania przetargów oraz rokowań na zbycie nieruchomości (Dz.U z 20</w:t>
      </w:r>
      <w:r w:rsidR="001664F4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21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poz. </w:t>
      </w:r>
      <w:r w:rsidR="001664F4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2213 t.j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.)</w:t>
      </w:r>
      <w:r w:rsid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, zgodnie z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</w:t>
      </w:r>
      <w:bookmarkStart w:id="3" w:name="_Hlk143083703"/>
      <w:r w:rsidR="007A0E99">
        <w:rPr>
          <w:rFonts w:ascii="Segoe UI Light" w:hAnsi="Segoe UI Light" w:cs="Segoe UI Light"/>
          <w:sz w:val="22"/>
          <w:szCs w:val="22"/>
          <w:highlight w:val="white"/>
        </w:rPr>
        <w:t xml:space="preserve">uchwałą nr </w:t>
      </w:r>
      <w:bookmarkEnd w:id="3"/>
      <w:r w:rsidR="0049417C">
        <w:rPr>
          <w:rFonts w:ascii="Segoe UI Light" w:hAnsi="Segoe UI Light" w:cs="Segoe UI Light"/>
          <w:sz w:val="22"/>
          <w:szCs w:val="22"/>
        </w:rPr>
        <w:t>LXXIX</w:t>
      </w:r>
      <w:r w:rsidR="00B50767" w:rsidRPr="00B50767">
        <w:rPr>
          <w:rFonts w:ascii="Segoe UI Light" w:hAnsi="Segoe UI Light" w:cs="Segoe UI Light"/>
          <w:sz w:val="22"/>
          <w:szCs w:val="22"/>
        </w:rPr>
        <w:t>/</w:t>
      </w:r>
      <w:r w:rsidR="0049417C">
        <w:rPr>
          <w:rFonts w:ascii="Segoe UI Light" w:hAnsi="Segoe UI Light" w:cs="Segoe UI Light"/>
          <w:sz w:val="22"/>
          <w:szCs w:val="22"/>
        </w:rPr>
        <w:t>699</w:t>
      </w:r>
      <w:r w:rsidR="00B50767" w:rsidRPr="00B50767">
        <w:rPr>
          <w:rFonts w:ascii="Segoe UI Light" w:hAnsi="Segoe UI Light" w:cs="Segoe UI Light"/>
          <w:sz w:val="22"/>
          <w:szCs w:val="22"/>
        </w:rPr>
        <w:t>/2023 Rady Miejskiej Góry Kalwarii z dnia 2</w:t>
      </w:r>
      <w:r w:rsidR="0049417C">
        <w:rPr>
          <w:rFonts w:ascii="Segoe UI Light" w:hAnsi="Segoe UI Light" w:cs="Segoe UI Light"/>
          <w:sz w:val="22"/>
          <w:szCs w:val="22"/>
        </w:rPr>
        <w:t>8</w:t>
      </w:r>
      <w:r w:rsidR="00B50767" w:rsidRPr="00B50767">
        <w:rPr>
          <w:rFonts w:ascii="Segoe UI Light" w:hAnsi="Segoe UI Light" w:cs="Segoe UI Light"/>
          <w:sz w:val="22"/>
          <w:szCs w:val="22"/>
        </w:rPr>
        <w:t xml:space="preserve"> </w:t>
      </w:r>
      <w:r w:rsidR="0049417C">
        <w:rPr>
          <w:rFonts w:ascii="Segoe UI Light" w:hAnsi="Segoe UI Light" w:cs="Segoe UI Light"/>
          <w:sz w:val="22"/>
          <w:szCs w:val="22"/>
        </w:rPr>
        <w:t>września</w:t>
      </w:r>
      <w:r w:rsidR="00B50767" w:rsidRPr="00B50767">
        <w:rPr>
          <w:rFonts w:ascii="Segoe UI Light" w:hAnsi="Segoe UI Light" w:cs="Segoe UI Light"/>
          <w:sz w:val="22"/>
          <w:szCs w:val="22"/>
        </w:rPr>
        <w:t xml:space="preserve"> 202</w:t>
      </w:r>
      <w:r w:rsidR="0049417C">
        <w:rPr>
          <w:rFonts w:ascii="Segoe UI Light" w:hAnsi="Segoe UI Light" w:cs="Segoe UI Light"/>
          <w:sz w:val="22"/>
          <w:szCs w:val="22"/>
        </w:rPr>
        <w:t>2</w:t>
      </w:r>
      <w:r w:rsidR="00B50767" w:rsidRPr="00B50767">
        <w:rPr>
          <w:rFonts w:ascii="Segoe UI Light" w:hAnsi="Segoe UI Light" w:cs="Segoe UI Light"/>
          <w:sz w:val="22"/>
          <w:szCs w:val="22"/>
        </w:rPr>
        <w:t xml:space="preserve"> r</w:t>
      </w:r>
      <w:r w:rsidR="00410C7B">
        <w:rPr>
          <w:rFonts w:ascii="Segoe UI Light" w:hAnsi="Segoe UI Light" w:cs="Segoe UI Light"/>
          <w:sz w:val="22"/>
          <w:szCs w:val="22"/>
          <w:highlight w:val="white"/>
        </w:rPr>
        <w:t>.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W</w:t>
      </w:r>
      <w:r w:rsidRPr="007A0E99">
        <w:rPr>
          <w:rStyle w:val="Mocnowyrniony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ykaz nieruchomości podano do publicznej wiadomości zgodnie z art. 35 ustawy z dnia 21 sierpnia 1997 r. 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(Dz.U z 202</w:t>
      </w:r>
      <w:r w:rsidR="00410C7B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3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r. poz. </w:t>
      </w:r>
      <w:r w:rsidR="00410C7B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>344)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w dniach od </w:t>
      </w:r>
      <w:r w:rsidR="006D0A9B">
        <w:rPr>
          <w:rFonts w:ascii="Segoe UI Light" w:hAnsi="Segoe UI Light" w:cs="Segoe UI Light"/>
          <w:sz w:val="22"/>
          <w:szCs w:val="22"/>
          <w:highlight w:val="white"/>
        </w:rPr>
        <w:t>17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>.0</w:t>
      </w:r>
      <w:r w:rsidR="006D0A9B">
        <w:rPr>
          <w:rFonts w:ascii="Segoe UI Light" w:hAnsi="Segoe UI Light" w:cs="Segoe UI Light"/>
          <w:sz w:val="22"/>
          <w:szCs w:val="22"/>
          <w:highlight w:val="white"/>
        </w:rPr>
        <w:t>3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>.202</w:t>
      </w:r>
      <w:r w:rsidR="00410C7B">
        <w:rPr>
          <w:rFonts w:ascii="Segoe UI Light" w:hAnsi="Segoe UI Light" w:cs="Segoe UI Light"/>
          <w:sz w:val="22"/>
          <w:szCs w:val="22"/>
          <w:highlight w:val="white"/>
        </w:rPr>
        <w:t>3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r. do </w:t>
      </w:r>
      <w:r w:rsidR="006D0A9B">
        <w:rPr>
          <w:rFonts w:ascii="Segoe UI Light" w:hAnsi="Segoe UI Light" w:cs="Segoe UI Light"/>
          <w:sz w:val="22"/>
          <w:szCs w:val="22"/>
          <w:highlight w:val="white"/>
        </w:rPr>
        <w:t>07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>.0</w:t>
      </w:r>
      <w:r w:rsidR="006D0A9B">
        <w:rPr>
          <w:rFonts w:ascii="Segoe UI Light" w:hAnsi="Segoe UI Light" w:cs="Segoe UI Light"/>
          <w:sz w:val="22"/>
          <w:szCs w:val="22"/>
          <w:highlight w:val="white"/>
        </w:rPr>
        <w:t>4</w:t>
      </w:r>
      <w:r w:rsidR="006F3010" w:rsidRPr="007A0E99">
        <w:rPr>
          <w:rFonts w:ascii="Segoe UI Light" w:hAnsi="Segoe UI Light" w:cs="Segoe UI Light"/>
          <w:sz w:val="22"/>
          <w:szCs w:val="22"/>
          <w:highlight w:val="white"/>
        </w:rPr>
        <w:t>.202</w:t>
      </w:r>
      <w:r w:rsidR="00410C7B">
        <w:rPr>
          <w:rFonts w:ascii="Segoe UI Light" w:hAnsi="Segoe UI Light" w:cs="Segoe UI Light"/>
          <w:sz w:val="22"/>
          <w:szCs w:val="22"/>
          <w:highlight w:val="white"/>
        </w:rPr>
        <w:t>3</w:t>
      </w:r>
      <w:r w:rsidRPr="007A0E99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r.: w prasie lokalnej, na stronie internetowej BIP oraz na tablicy ogłoszeń tut. Urzędzie.</w:t>
      </w:r>
      <w:r w:rsidR="00E00C88">
        <w:rPr>
          <w:rStyle w:val="Pogrubienie"/>
          <w:rFonts w:ascii="Segoe UI Light" w:hAnsi="Segoe UI Light" w:cs="Segoe UI Light"/>
          <w:b w:val="0"/>
          <w:bCs w:val="0"/>
          <w:sz w:val="22"/>
          <w:szCs w:val="22"/>
          <w:highlight w:val="white"/>
        </w:rPr>
        <w:t xml:space="preserve"> </w:t>
      </w:r>
    </w:p>
    <w:p w14:paraId="652E2BF8" w14:textId="75BCE715" w:rsidR="0049417C" w:rsidRPr="00185E6E" w:rsidRDefault="0049417C" w:rsidP="0049417C">
      <w:pPr>
        <w:pStyle w:val="NormalnyWeb"/>
        <w:spacing w:after="0" w:line="276" w:lineRule="auto"/>
        <w:jc w:val="both"/>
        <w:rPr>
          <w:rFonts w:ascii="Segoe UI Light" w:hAnsi="Segoe UI Light" w:cs="Segoe UI Light"/>
          <w:bCs/>
          <w:sz w:val="22"/>
          <w:szCs w:val="22"/>
        </w:rPr>
      </w:pPr>
      <w:r w:rsidRPr="0049417C">
        <w:rPr>
          <w:rFonts w:ascii="Segoe UI Light" w:hAnsi="Segoe UI Light" w:cs="Segoe UI Light"/>
          <w:bCs/>
          <w:sz w:val="22"/>
          <w:szCs w:val="22"/>
        </w:rPr>
        <w:t xml:space="preserve">Mając na uwadze fakt, iż </w:t>
      </w:r>
      <w:r>
        <w:rPr>
          <w:rFonts w:ascii="Segoe UI Light" w:hAnsi="Segoe UI Light" w:cs="Segoe UI Light"/>
          <w:bCs/>
          <w:sz w:val="22"/>
          <w:szCs w:val="22"/>
        </w:rPr>
        <w:t>przedmiotowe nieruchomości</w:t>
      </w:r>
      <w:r w:rsidR="008E5455">
        <w:rPr>
          <w:rFonts w:ascii="Segoe UI Light" w:hAnsi="Segoe UI Light" w:cs="Segoe UI Light"/>
          <w:bCs/>
          <w:sz w:val="22"/>
          <w:szCs w:val="22"/>
        </w:rPr>
        <w:t xml:space="preserve"> są objęte współwłasnością osób prywatnych, gmina sprzedaje swój udział w drodze przetargu ustnego ograniczonego </w:t>
      </w:r>
      <w:r w:rsidRPr="0049417C">
        <w:rPr>
          <w:rFonts w:ascii="Segoe UI Light" w:hAnsi="Segoe UI Light" w:cs="Segoe UI Light"/>
          <w:bCs/>
          <w:sz w:val="22"/>
          <w:szCs w:val="22"/>
        </w:rPr>
        <w:t xml:space="preserve">i każdy z </w:t>
      </w:r>
      <w:r w:rsidR="008E5455">
        <w:rPr>
          <w:rFonts w:ascii="Segoe UI Light" w:hAnsi="Segoe UI Light" w:cs="Segoe UI Light"/>
          <w:bCs/>
          <w:sz w:val="22"/>
          <w:szCs w:val="22"/>
        </w:rPr>
        <w:t>współ</w:t>
      </w:r>
      <w:r w:rsidRPr="0049417C">
        <w:rPr>
          <w:rFonts w:ascii="Segoe UI Light" w:hAnsi="Segoe UI Light" w:cs="Segoe UI Light"/>
          <w:bCs/>
          <w:sz w:val="22"/>
          <w:szCs w:val="22"/>
        </w:rPr>
        <w:t xml:space="preserve">właścicieli tych nieruchomości ma prawo </w:t>
      </w:r>
      <w:r w:rsidR="008E5455">
        <w:rPr>
          <w:rFonts w:ascii="Segoe UI Light" w:hAnsi="Segoe UI Light" w:cs="Segoe UI Light"/>
          <w:bCs/>
          <w:sz w:val="22"/>
          <w:szCs w:val="22"/>
        </w:rPr>
        <w:t xml:space="preserve">przystąpić do przetargu i </w:t>
      </w:r>
      <w:r w:rsidRPr="0049417C">
        <w:rPr>
          <w:rFonts w:ascii="Segoe UI Light" w:hAnsi="Segoe UI Light" w:cs="Segoe UI Light"/>
          <w:bCs/>
          <w:sz w:val="22"/>
          <w:szCs w:val="22"/>
        </w:rPr>
        <w:t>ubiegać się o nabycie</w:t>
      </w:r>
      <w:r w:rsidR="008E5455">
        <w:rPr>
          <w:rFonts w:ascii="Segoe UI Light" w:hAnsi="Segoe UI Light" w:cs="Segoe UI Light"/>
          <w:bCs/>
          <w:sz w:val="22"/>
          <w:szCs w:val="22"/>
        </w:rPr>
        <w:t xml:space="preserve"> udziału 2/46 </w:t>
      </w:r>
      <w:r w:rsidRPr="0049417C">
        <w:rPr>
          <w:rFonts w:ascii="Segoe UI Light" w:hAnsi="Segoe UI Light" w:cs="Segoe UI Light"/>
          <w:bCs/>
          <w:sz w:val="22"/>
          <w:szCs w:val="22"/>
        </w:rPr>
        <w:t xml:space="preserve"> przedmiotow</w:t>
      </w:r>
      <w:r w:rsidR="008E5455">
        <w:rPr>
          <w:rFonts w:ascii="Segoe UI Light" w:hAnsi="Segoe UI Light" w:cs="Segoe UI Light"/>
          <w:bCs/>
          <w:sz w:val="22"/>
          <w:szCs w:val="22"/>
        </w:rPr>
        <w:t>ych</w:t>
      </w:r>
      <w:r w:rsidRPr="0049417C">
        <w:rPr>
          <w:rFonts w:ascii="Segoe UI Light" w:hAnsi="Segoe UI Light" w:cs="Segoe UI Light"/>
          <w:bCs/>
          <w:sz w:val="22"/>
          <w:szCs w:val="22"/>
        </w:rPr>
        <w:t xml:space="preserve"> dział</w:t>
      </w:r>
      <w:r w:rsidR="008E5455">
        <w:rPr>
          <w:rFonts w:ascii="Segoe UI Light" w:hAnsi="Segoe UI Light" w:cs="Segoe UI Light"/>
          <w:bCs/>
          <w:sz w:val="22"/>
          <w:szCs w:val="22"/>
        </w:rPr>
        <w:t xml:space="preserve">ek, </w:t>
      </w:r>
      <w:r w:rsidRPr="0049417C">
        <w:rPr>
          <w:rFonts w:ascii="Segoe UI Light" w:hAnsi="Segoe UI Light" w:cs="Segoe UI Light"/>
          <w:bCs/>
          <w:sz w:val="22"/>
          <w:szCs w:val="22"/>
        </w:rPr>
        <w:t xml:space="preserve">sprzedaż następuje w drodze przetargu ustnego ograniczonego do </w:t>
      </w:r>
      <w:r w:rsidR="008E5455">
        <w:rPr>
          <w:rFonts w:ascii="Segoe UI Light" w:hAnsi="Segoe UI Light" w:cs="Segoe UI Light"/>
          <w:bCs/>
          <w:sz w:val="22"/>
          <w:szCs w:val="22"/>
        </w:rPr>
        <w:t>współ</w:t>
      </w:r>
      <w:r w:rsidRPr="0049417C">
        <w:rPr>
          <w:rFonts w:ascii="Segoe UI Light" w:hAnsi="Segoe UI Light" w:cs="Segoe UI Light"/>
          <w:bCs/>
          <w:sz w:val="22"/>
          <w:szCs w:val="22"/>
        </w:rPr>
        <w:t xml:space="preserve">właścicieli  </w:t>
      </w:r>
      <w:r w:rsidR="008E5455">
        <w:rPr>
          <w:rFonts w:ascii="Segoe UI Light" w:hAnsi="Segoe UI Light" w:cs="Segoe UI Light"/>
          <w:bCs/>
          <w:sz w:val="22"/>
          <w:szCs w:val="22"/>
        </w:rPr>
        <w:t>przedmiotowej</w:t>
      </w:r>
      <w:r w:rsidRPr="0049417C">
        <w:rPr>
          <w:rFonts w:ascii="Segoe UI Light" w:hAnsi="Segoe UI Light" w:cs="Segoe UI Light"/>
          <w:bCs/>
          <w:sz w:val="22"/>
          <w:szCs w:val="22"/>
        </w:rPr>
        <w:t xml:space="preserve"> nieruchomości.</w:t>
      </w:r>
    </w:p>
    <w:p w14:paraId="0AA5B87B" w14:textId="65E08ADE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Style w:val="Pogrubienie"/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Cena wywoławcza  -   </w:t>
      </w:r>
      <w:r w:rsidR="008E5455">
        <w:rPr>
          <w:rStyle w:val="Pogrubienie"/>
          <w:rFonts w:ascii="Segoe UI Light" w:hAnsi="Segoe UI Light" w:cs="Segoe UI Light"/>
          <w:sz w:val="22"/>
          <w:szCs w:val="22"/>
        </w:rPr>
        <w:t>29</w:t>
      </w:r>
      <w:r w:rsidR="006D0A9B">
        <w:rPr>
          <w:rStyle w:val="Pogrubienie"/>
          <w:rFonts w:ascii="Segoe UI Light" w:hAnsi="Segoe UI Light" w:cs="Segoe UI Light"/>
          <w:sz w:val="22"/>
          <w:szCs w:val="22"/>
        </w:rPr>
        <w:t xml:space="preserve"> 500</w:t>
      </w:r>
      <w:r w:rsidR="00687EC0" w:rsidRPr="00687EC0">
        <w:rPr>
          <w:rStyle w:val="Pogrubienie"/>
          <w:rFonts w:ascii="Segoe UI Light" w:hAnsi="Segoe UI Light" w:cs="Segoe UI Light"/>
          <w:sz w:val="22"/>
          <w:szCs w:val="22"/>
        </w:rPr>
        <w:t xml:space="preserve"> zł</w:t>
      </w:r>
      <w:r w:rsidR="00687EC0">
        <w:rPr>
          <w:rStyle w:val="Pogrubienie"/>
          <w:rFonts w:ascii="Segoe UI Light" w:hAnsi="Segoe UI Light" w:cs="Segoe UI Light"/>
          <w:sz w:val="22"/>
          <w:szCs w:val="22"/>
        </w:rPr>
        <w:tab/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Wadium  -  </w:t>
      </w:r>
      <w:r w:rsidR="003D34F7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>2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000 zł</w:t>
      </w:r>
    </w:p>
    <w:p w14:paraId="6D1A4215" w14:textId="0EECD148" w:rsidR="00532B92" w:rsidRDefault="00532B92" w:rsidP="00723282">
      <w:pPr>
        <w:pStyle w:val="NormalnyWeb"/>
        <w:spacing w:beforeAutospacing="0" w:after="0" w:afterAutospacing="0" w:line="276" w:lineRule="auto"/>
        <w:jc w:val="both"/>
        <w:rPr>
          <w:rStyle w:val="Mocnowyrniony"/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sz w:val="22"/>
          <w:szCs w:val="22"/>
        </w:rPr>
        <w:t xml:space="preserve">Termin przetargu: </w:t>
      </w:r>
      <w:r w:rsidR="004B3064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2</w:t>
      </w:r>
      <w:r w:rsidR="006D0A9B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8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.</w:t>
      </w:r>
      <w:r w:rsidR="006D0A9B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09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.202</w:t>
      </w:r>
      <w:r w:rsidR="00467917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3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 xml:space="preserve"> r. o godz. 1</w:t>
      </w:r>
      <w:r w:rsidR="003D34F7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2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:00</w:t>
      </w:r>
    </w:p>
    <w:p w14:paraId="0F819269" w14:textId="5627851B" w:rsidR="00B96AA2" w:rsidRDefault="00B96AA2" w:rsidP="00723282">
      <w:pPr>
        <w:pStyle w:val="NormalnyWeb"/>
        <w:spacing w:beforeAutospacing="0" w:after="0" w:afterAutospacing="0" w:line="276" w:lineRule="auto"/>
        <w:jc w:val="both"/>
        <w:rPr>
          <w:rStyle w:val="Mocnowyrniony"/>
          <w:rFonts w:ascii="Segoe UI Light" w:hAnsi="Segoe UI Light" w:cs="Segoe UI Light"/>
          <w:sz w:val="22"/>
          <w:szCs w:val="22"/>
        </w:rPr>
      </w:pPr>
      <w:r>
        <w:rPr>
          <w:rStyle w:val="Mocnowyrniony"/>
          <w:rFonts w:ascii="Segoe UI Light" w:hAnsi="Segoe UI Light" w:cs="Segoe UI Light"/>
          <w:sz w:val="22"/>
          <w:szCs w:val="22"/>
        </w:rPr>
        <w:t xml:space="preserve">Termin wpłaty wadium: 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 xml:space="preserve">do dnia </w:t>
      </w:r>
      <w:r w:rsidR="004B3064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2</w:t>
      </w:r>
      <w:r w:rsidR="006D0A9B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5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.</w:t>
      </w:r>
      <w:r w:rsidR="006D0A9B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09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.202</w:t>
      </w:r>
      <w:r w:rsidR="00467917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>3</w:t>
      </w:r>
      <w:r w:rsidRPr="007A0E99">
        <w:rPr>
          <w:rStyle w:val="Mocnowyrniony"/>
          <w:rFonts w:ascii="Segoe UI Light" w:hAnsi="Segoe UI Light" w:cs="Segoe UI Light"/>
          <w:sz w:val="22"/>
          <w:szCs w:val="22"/>
          <w:highlight w:val="white"/>
        </w:rPr>
        <w:t xml:space="preserve"> r. </w:t>
      </w:r>
      <w:r w:rsidRPr="007A0E99">
        <w:rPr>
          <w:rStyle w:val="Pogrubienie"/>
          <w:rFonts w:ascii="Segoe UI Light" w:hAnsi="Segoe UI Light" w:cs="Segoe UI Light"/>
          <w:b w:val="0"/>
          <w:bCs w:val="0"/>
          <w:color w:val="000000" w:themeColor="text1"/>
          <w:sz w:val="22"/>
          <w:szCs w:val="22"/>
          <w:highlight w:val="white"/>
        </w:rPr>
        <w:t>(data zaksięgowania na gminnym koncie)</w:t>
      </w:r>
      <w:r w:rsidRPr="007A0E99">
        <w:rPr>
          <w:rStyle w:val="Mocnowyrniony"/>
          <w:rFonts w:ascii="Segoe UI Light" w:hAnsi="Segoe UI Light" w:cs="Segoe UI Light"/>
          <w:sz w:val="22"/>
          <w:szCs w:val="22"/>
        </w:rPr>
        <w:t>.</w:t>
      </w:r>
    </w:p>
    <w:p w14:paraId="012069BB" w14:textId="77777777" w:rsidR="004466A3" w:rsidRPr="007A0E99" w:rsidRDefault="004466A3" w:rsidP="00723282">
      <w:pPr>
        <w:pStyle w:val="NormalnyWeb"/>
        <w:spacing w:beforeAutospacing="0" w:after="0" w:afterAutospacing="0" w:line="276" w:lineRule="auto"/>
        <w:jc w:val="both"/>
        <w:rPr>
          <w:rStyle w:val="Pogrubienie"/>
          <w:rFonts w:ascii="Segoe UI Light" w:hAnsi="Segoe UI Light" w:cs="Segoe UI Light"/>
          <w:b w:val="0"/>
          <w:bCs w:val="0"/>
          <w:sz w:val="22"/>
          <w:szCs w:val="22"/>
        </w:rPr>
      </w:pPr>
    </w:p>
    <w:p w14:paraId="586C75EE" w14:textId="5090390A" w:rsidR="00E5057A" w:rsidRDefault="00E5057A" w:rsidP="00E5057A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E5057A">
        <w:rPr>
          <w:rFonts w:ascii="Segoe UI Light" w:hAnsi="Segoe UI Light" w:cs="Segoe UI Light"/>
          <w:sz w:val="22"/>
          <w:szCs w:val="22"/>
        </w:rPr>
        <w:t>Nieruchomość zabudowana budynkiem mieszkalnym wielorodzinnym – barakiem piętrowym pocegielnianym oraz budynkiem gospodarczym – komórką drewnianą.</w:t>
      </w:r>
      <w:r>
        <w:rPr>
          <w:rFonts w:ascii="Segoe UI Light" w:hAnsi="Segoe UI Light" w:cs="Segoe UI Light"/>
          <w:sz w:val="22"/>
          <w:szCs w:val="22"/>
        </w:rPr>
        <w:t xml:space="preserve"> </w:t>
      </w:r>
      <w:r w:rsidR="003D34F7">
        <w:rPr>
          <w:rFonts w:ascii="Segoe UI Light" w:hAnsi="Segoe UI Light" w:cs="Segoe UI Light"/>
          <w:sz w:val="22"/>
          <w:szCs w:val="22"/>
        </w:rPr>
        <w:t>Z przedmiotowym udziałem w gruncie i w częściach wspólnych budynków wiąże się prawo do korzystania z lokalu o powierzchni 25,24 m2</w:t>
      </w:r>
      <w:r>
        <w:rPr>
          <w:rFonts w:ascii="Segoe UI Light" w:hAnsi="Segoe UI Light" w:cs="Segoe UI Light"/>
          <w:sz w:val="22"/>
          <w:szCs w:val="22"/>
        </w:rPr>
        <w:t xml:space="preserve">, znajdującego się w budynku </w:t>
      </w:r>
      <w:r w:rsidRPr="00E5057A">
        <w:rPr>
          <w:rFonts w:ascii="Segoe UI Light" w:hAnsi="Segoe UI Light" w:cs="Segoe UI Light"/>
          <w:sz w:val="22"/>
          <w:szCs w:val="22"/>
        </w:rPr>
        <w:t>mieszkalnym wielorodzi</w:t>
      </w:r>
      <w:r>
        <w:rPr>
          <w:rFonts w:ascii="Segoe UI Light" w:hAnsi="Segoe UI Light" w:cs="Segoe UI Light"/>
          <w:sz w:val="22"/>
          <w:szCs w:val="22"/>
        </w:rPr>
        <w:t>nnym</w:t>
      </w:r>
      <w:r w:rsidR="00B94384">
        <w:rPr>
          <w:rFonts w:ascii="Segoe UI Light" w:hAnsi="Segoe UI Light" w:cs="Segoe UI Light"/>
          <w:sz w:val="22"/>
          <w:szCs w:val="22"/>
        </w:rPr>
        <w:t>, tj. w ramach udziału we współwłasności nabywca będzie mógł korzystać, na zasadach wyłączności z lokalu mieszkalnego, położonego na parterze w budynku mieszkalnym</w:t>
      </w:r>
      <w:r w:rsidR="002D1CD7">
        <w:rPr>
          <w:rFonts w:ascii="Segoe UI Light" w:hAnsi="Segoe UI Light" w:cs="Segoe UI Light"/>
          <w:sz w:val="22"/>
          <w:szCs w:val="22"/>
        </w:rPr>
        <w:t>.</w:t>
      </w:r>
      <w:r w:rsidR="00B94384">
        <w:rPr>
          <w:rFonts w:ascii="Segoe UI Light" w:hAnsi="Segoe UI Light" w:cs="Segoe UI Light"/>
          <w:sz w:val="22"/>
          <w:szCs w:val="22"/>
        </w:rPr>
        <w:t xml:space="preserve"> </w:t>
      </w:r>
      <w:r w:rsidR="002D1CD7">
        <w:rPr>
          <w:rFonts w:ascii="Segoe UI Light" w:hAnsi="Segoe UI Light" w:cs="Segoe UI Light"/>
          <w:sz w:val="22"/>
          <w:szCs w:val="22"/>
        </w:rPr>
        <w:t xml:space="preserve">Bezpośrednie </w:t>
      </w:r>
      <w:r w:rsidR="00B94384">
        <w:rPr>
          <w:rFonts w:ascii="Segoe UI Light" w:hAnsi="Segoe UI Light" w:cs="Segoe UI Light"/>
          <w:sz w:val="22"/>
          <w:szCs w:val="22"/>
        </w:rPr>
        <w:t>wejście do przedmiotowego lokalu</w:t>
      </w:r>
      <w:r w:rsidR="002D1CD7">
        <w:rPr>
          <w:rFonts w:ascii="Segoe UI Light" w:hAnsi="Segoe UI Light" w:cs="Segoe UI Light"/>
          <w:sz w:val="22"/>
          <w:szCs w:val="22"/>
        </w:rPr>
        <w:t xml:space="preserve"> znajduje się w południow</w:t>
      </w:r>
      <w:r w:rsidR="00852F0A">
        <w:rPr>
          <w:rFonts w:ascii="Segoe UI Light" w:hAnsi="Segoe UI Light" w:cs="Segoe UI Light"/>
          <w:sz w:val="22"/>
          <w:szCs w:val="22"/>
        </w:rPr>
        <w:t>o-zachodniej</w:t>
      </w:r>
      <w:r w:rsidR="002D1CD7">
        <w:rPr>
          <w:rFonts w:ascii="Segoe UI Light" w:hAnsi="Segoe UI Light" w:cs="Segoe UI Light"/>
          <w:sz w:val="22"/>
          <w:szCs w:val="22"/>
        </w:rPr>
        <w:t xml:space="preserve"> części budynku (drugie wejście licząc od strony ulicy Podleśnej).</w:t>
      </w:r>
      <w:r w:rsidR="00B94384">
        <w:rPr>
          <w:rFonts w:ascii="Segoe UI Light" w:hAnsi="Segoe UI Light" w:cs="Segoe UI Light"/>
          <w:sz w:val="22"/>
          <w:szCs w:val="22"/>
        </w:rPr>
        <w:t xml:space="preserve"> </w:t>
      </w:r>
    </w:p>
    <w:p w14:paraId="1B39F2E0" w14:textId="58BFFD7C" w:rsidR="00E5057A" w:rsidRPr="00E5057A" w:rsidRDefault="00E5057A" w:rsidP="00E5057A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E5057A">
        <w:rPr>
          <w:rFonts w:ascii="Segoe UI Light" w:hAnsi="Segoe UI Light" w:cs="Segoe UI Light"/>
          <w:sz w:val="22"/>
          <w:szCs w:val="22"/>
        </w:rPr>
        <w:t xml:space="preserve">Udział wynoszący 2/46 części zabudowanej nieruchomości oznaczonej jako dz.nr 155/9 o pow. 0,2341 ha przy ul. Łubińskiej 2 z obrębu Łubna, objętej księgą wieczystą nr </w:t>
      </w:r>
      <w:bookmarkStart w:id="4" w:name="_Hlk143607237"/>
      <w:r w:rsidRPr="00E5057A">
        <w:rPr>
          <w:rFonts w:ascii="Segoe UI Light" w:hAnsi="Segoe UI Light" w:cs="Segoe UI Light"/>
          <w:sz w:val="22"/>
          <w:szCs w:val="22"/>
        </w:rPr>
        <w:t>WA5M/00377541/9</w:t>
      </w:r>
      <w:bookmarkEnd w:id="4"/>
      <w:r w:rsidRPr="00E5057A">
        <w:rPr>
          <w:rFonts w:ascii="Segoe UI Light" w:hAnsi="Segoe UI Light" w:cs="Segoe UI Light"/>
          <w:sz w:val="22"/>
          <w:szCs w:val="22"/>
        </w:rPr>
        <w:t xml:space="preserve">. W dziale III księgi wieczystej widnieje wpis ostrzeżenia o wszczęciu egzekucji należności pieniężnej z </w:t>
      </w:r>
      <w:r w:rsidRPr="00E5057A">
        <w:rPr>
          <w:rFonts w:ascii="Segoe UI Light" w:hAnsi="Segoe UI Light" w:cs="Segoe UI Light"/>
          <w:sz w:val="22"/>
          <w:szCs w:val="22"/>
        </w:rPr>
        <w:lastRenderedPageBreak/>
        <w:t>ułamkowej części użytkowania wieczystego oraz wpis roszczenia dotychczasowego właściciela gruntu o opłatę przekształceniową w odniesieniu do każdoczesnego właściciela nieruchomości na podstawie ustawy z dnia 20 lipca 2018 r. o przekształceniu prawa użytkowania wieczystego gruntów zabudowanych na cele mieszkaniowe w prawo własności tych gruntów. W dziale IV księgi wieczystej widnieją wpisy hipotek przymusowych.</w:t>
      </w:r>
    </w:p>
    <w:p w14:paraId="2D095ED5" w14:textId="19274688" w:rsidR="00E5057A" w:rsidRDefault="00E5057A" w:rsidP="00E5057A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E5057A">
        <w:rPr>
          <w:rFonts w:ascii="Segoe UI Light" w:hAnsi="Segoe UI Light" w:cs="Segoe UI Light"/>
          <w:sz w:val="22"/>
          <w:szCs w:val="22"/>
        </w:rPr>
        <w:t>Udział wynoszący 2/46 części nieruchomości oznaczonej jako dz.nr 155/17 o pow. 0,0656 ha z obrębu Łubna, objętej księgą wieczystą nr WA5M/00379259/9. W dziale III księgi wieczystej widnieje wpis roszczenia dotychczasowego właściciela gruntu o opłatę przekształceniową w odniesieniu do każdoczesnego właściciela nieruchomości na podstawie ustawy z dnia 20 lipca 2018 r. o przekształceniu prawa użytkowania wieczystego gruntów zabudowanych na cele mieszkaniowe w prawo własności tych gruntów. W dziale IV księgi wieczystej nie ma żadnych wpisów.</w:t>
      </w:r>
    </w:p>
    <w:p w14:paraId="7D7B94A0" w14:textId="77777777" w:rsidR="0092236A" w:rsidRDefault="0092236A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18E196D8" w14:textId="3C559028" w:rsidR="006940FC" w:rsidRDefault="006940FC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Dla lokalu przedmiotowej nieruchomości lokalowej zostało wydane świadectwo charakterystyki energetycznej nr. SCHE/12954/6</w:t>
      </w:r>
      <w:r w:rsidR="00E5057A">
        <w:rPr>
          <w:rFonts w:ascii="Segoe UI Light" w:hAnsi="Segoe UI Light" w:cs="Segoe UI Light"/>
          <w:sz w:val="22"/>
          <w:szCs w:val="22"/>
        </w:rPr>
        <w:t>2</w:t>
      </w:r>
      <w:r>
        <w:rPr>
          <w:rFonts w:ascii="Segoe UI Light" w:hAnsi="Segoe UI Light" w:cs="Segoe UI Light"/>
          <w:sz w:val="22"/>
          <w:szCs w:val="22"/>
        </w:rPr>
        <w:t>/2023 w dniu 21.07.2023 r.</w:t>
      </w:r>
    </w:p>
    <w:p w14:paraId="5E730BE2" w14:textId="77777777" w:rsidR="00185E6E" w:rsidRDefault="00185E6E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3869BA58" w14:textId="2120B273" w:rsidR="00185E6E" w:rsidRDefault="00E5057A" w:rsidP="000367D9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E5057A">
        <w:rPr>
          <w:rFonts w:ascii="Segoe UI Light" w:hAnsi="Segoe UI Light" w:cs="Segoe UI Light"/>
          <w:sz w:val="22"/>
          <w:szCs w:val="22"/>
        </w:rPr>
        <w:t>Nieruchomość nie jest objęta miejscowym planem zagospodarowania przestrzennego, natomiast w studium uwarunkowań i kierunków zagospodarowania przestrzennego miasta i gminy Góra Kalwaria nieruchomość znajduje się na terenie oznaczonym symbolem U - usługi.</w:t>
      </w:r>
    </w:p>
    <w:p w14:paraId="6A664010" w14:textId="77777777" w:rsidR="00E5057A" w:rsidRDefault="00E5057A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63DFFDCC" w14:textId="4CB2C012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613379">
        <w:rPr>
          <w:rFonts w:ascii="Segoe UI Light" w:hAnsi="Segoe UI Light" w:cs="Segoe UI Light"/>
          <w:b/>
          <w:bCs/>
          <w:sz w:val="22"/>
          <w:szCs w:val="22"/>
          <w:highlight w:val="white"/>
        </w:rPr>
        <w:t>W przetargu mogą wziąć udział osoby</w:t>
      </w:r>
      <w:r w:rsidR="00E5057A" w:rsidRPr="00613379">
        <w:rPr>
          <w:rFonts w:ascii="Segoe UI Light" w:hAnsi="Segoe UI Light" w:cs="Segoe UI Light"/>
          <w:b/>
          <w:bCs/>
          <w:sz w:val="22"/>
          <w:szCs w:val="22"/>
          <w:highlight w:val="white"/>
        </w:rPr>
        <w:t xml:space="preserve"> będące współwłaścicielami nieruchomości oznaczonych jako dz.nr 155/9 i 155/17</w:t>
      </w:r>
      <w:r w:rsidRPr="00613379">
        <w:rPr>
          <w:rFonts w:ascii="Segoe UI Light" w:hAnsi="Segoe UI Light" w:cs="Segoe UI Light"/>
          <w:b/>
          <w:bCs/>
          <w:sz w:val="22"/>
          <w:szCs w:val="22"/>
          <w:highlight w:val="white"/>
        </w:rPr>
        <w:t>.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Przed otwarciem przetargu osoby przystępujące do przetargu zobowiązane są przedstawić Komisji Przetargowej następujące dokumenty: dowód wpłaty wadium; osoby fizyczne dokument tożsamości, reprezentujący osoby prawne – dokument tożsamości oraz oryginały lub poświadczone za zgodność z oryginałem: umowy spółki, aktualny odpis KRS i uchwałę odpowiedniego organu osoby prawnej zezwalającej na nabycie nieruchomości; pełnomocnicy – dokument potwierdzający tożsamość i oryginał pełnomocnictwa upoważniającego do działania na każdym etapie postępowania przetargowego w przypadku przystąpienia do przetargu jednego z małżonków, konieczne jest przedłożenie pisemnej zgody współmałżonka.</w:t>
      </w:r>
      <w:r w:rsidR="00962E4D">
        <w:rPr>
          <w:rFonts w:ascii="Segoe UI Light" w:hAnsi="Segoe UI Light" w:cs="Segoe UI Light"/>
          <w:sz w:val="22"/>
          <w:szCs w:val="22"/>
        </w:rPr>
        <w:t xml:space="preserve"> Uczestnik przetargu powinien okazać dowód współwłasności w w/w nieruchomościach, chyba, że osoba ta ujawniona jest w księgach wieczystych o nr: </w:t>
      </w:r>
      <w:r w:rsidR="00962E4D" w:rsidRPr="00E5057A">
        <w:rPr>
          <w:rFonts w:ascii="Segoe UI Light" w:hAnsi="Segoe UI Light" w:cs="Segoe UI Light"/>
          <w:sz w:val="22"/>
          <w:szCs w:val="22"/>
        </w:rPr>
        <w:t>WA5M/00377541/9</w:t>
      </w:r>
      <w:r w:rsidR="00962E4D">
        <w:rPr>
          <w:rFonts w:ascii="Segoe UI Light" w:hAnsi="Segoe UI Light" w:cs="Segoe UI Light"/>
          <w:sz w:val="22"/>
          <w:szCs w:val="22"/>
        </w:rPr>
        <w:t xml:space="preserve"> i </w:t>
      </w:r>
      <w:r w:rsidR="00962E4D" w:rsidRPr="00E5057A">
        <w:rPr>
          <w:rFonts w:ascii="Segoe UI Light" w:hAnsi="Segoe UI Light" w:cs="Segoe UI Light"/>
          <w:sz w:val="22"/>
          <w:szCs w:val="22"/>
        </w:rPr>
        <w:t>WA5M/00379259/9</w:t>
      </w:r>
      <w:r w:rsidR="00962E4D">
        <w:rPr>
          <w:rFonts w:ascii="Segoe UI Light" w:hAnsi="Segoe UI Light" w:cs="Segoe UI Light"/>
          <w:sz w:val="22"/>
          <w:szCs w:val="22"/>
        </w:rPr>
        <w:t>.</w:t>
      </w:r>
    </w:p>
    <w:p w14:paraId="78E70FC8" w14:textId="7D8CA2B3" w:rsidR="00F42959" w:rsidRPr="00203ADB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bookmarkStart w:id="5" w:name="__DdeLink__65_3607906829"/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Przetarg ważny jest bez względu na liczbę uczestników, jeżeli chociaż jeden uczestnik zaoferuje 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br/>
        <w:t xml:space="preserve">co najmniej jedno postąpienie, o wysokości postąpienia decydują uczestnicy przetargu, z tym, 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br/>
        <w:t>że postąpienie nie może wynosić mniej niż 1% ceny wywoławczej nieruchomości.</w:t>
      </w:r>
      <w:bookmarkEnd w:id="5"/>
    </w:p>
    <w:p w14:paraId="6F28D0B9" w14:textId="1F807E7B" w:rsidR="00412D58" w:rsidRDefault="00C92330" w:rsidP="00412D58">
      <w:pPr>
        <w:pStyle w:val="Tekstpodstawowy"/>
        <w:rPr>
          <w:rStyle w:val="Mocnowyrniony"/>
          <w:rFonts w:ascii="Segoe UI Light" w:hAnsi="Segoe UI Light" w:cs="Segoe UI Light"/>
          <w:highlight w:val="white"/>
        </w:rPr>
      </w:pP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Przetarg  odbędzie się dnia </w:t>
      </w:r>
      <w:bookmarkStart w:id="6" w:name="_Hlk73528924"/>
      <w:r w:rsidR="004B3064">
        <w:rPr>
          <w:rStyle w:val="Mocnowyrniony"/>
          <w:rFonts w:ascii="Segoe UI Light" w:hAnsi="Segoe UI Light" w:cs="Segoe UI Light"/>
          <w:highlight w:val="white"/>
        </w:rPr>
        <w:t>2</w:t>
      </w:r>
      <w:r w:rsidR="006D0A9B">
        <w:rPr>
          <w:rStyle w:val="Mocnowyrniony"/>
          <w:rFonts w:ascii="Segoe UI Light" w:hAnsi="Segoe UI Light" w:cs="Segoe UI Light"/>
          <w:highlight w:val="white"/>
        </w:rPr>
        <w:t>8</w:t>
      </w:r>
      <w:r w:rsidRPr="007A0E99">
        <w:rPr>
          <w:rStyle w:val="Mocnowyrniony"/>
          <w:rFonts w:ascii="Segoe UI Light" w:hAnsi="Segoe UI Light" w:cs="Segoe UI Light"/>
          <w:highlight w:val="white"/>
        </w:rPr>
        <w:t>.</w:t>
      </w:r>
      <w:r w:rsidR="006D0A9B">
        <w:rPr>
          <w:rStyle w:val="Mocnowyrniony"/>
          <w:rFonts w:ascii="Segoe UI Light" w:hAnsi="Segoe UI Light" w:cs="Segoe UI Light"/>
          <w:highlight w:val="white"/>
        </w:rPr>
        <w:t>09</w:t>
      </w:r>
      <w:r w:rsidRPr="007A0E99">
        <w:rPr>
          <w:rStyle w:val="Mocnowyrniony"/>
          <w:rFonts w:ascii="Segoe UI Light" w:hAnsi="Segoe UI Light" w:cs="Segoe UI Light"/>
          <w:highlight w:val="white"/>
        </w:rPr>
        <w:t>.202</w:t>
      </w:r>
      <w:r w:rsidR="0001602E">
        <w:rPr>
          <w:rStyle w:val="Mocnowyrniony"/>
          <w:rFonts w:ascii="Segoe UI Light" w:hAnsi="Segoe UI Light" w:cs="Segoe UI Light"/>
          <w:highlight w:val="white"/>
        </w:rPr>
        <w:t>3</w:t>
      </w: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 r. o godz. 1</w:t>
      </w:r>
      <w:r w:rsidR="00E5057A">
        <w:rPr>
          <w:rStyle w:val="Mocnowyrniony"/>
          <w:rFonts w:ascii="Segoe UI Light" w:hAnsi="Segoe UI Light" w:cs="Segoe UI Light"/>
          <w:highlight w:val="white"/>
        </w:rPr>
        <w:t>2</w:t>
      </w: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:00 </w:t>
      </w:r>
      <w:bookmarkEnd w:id="6"/>
      <w:r w:rsidRPr="007A0E99">
        <w:rPr>
          <w:rStyle w:val="Mocnowyrniony"/>
          <w:rFonts w:ascii="Segoe UI Light" w:hAnsi="Segoe UI Light" w:cs="Segoe UI Light"/>
          <w:highlight w:val="white"/>
        </w:rPr>
        <w:t>w Urzędzie Miasta i Gminy w Górze Kalwarii ul. 3-Maja 10, sala nr</w:t>
      </w:r>
      <w:r w:rsidRPr="007A0E99">
        <w:rPr>
          <w:rStyle w:val="Mocnowyrniony"/>
          <w:rFonts w:ascii="Segoe UI Light" w:hAnsi="Segoe UI Light" w:cs="Segoe UI Light"/>
          <w:b w:val="0"/>
          <w:bCs w:val="0"/>
          <w:highlight w:val="white"/>
        </w:rPr>
        <w:t xml:space="preserve"> </w:t>
      </w:r>
      <w:r w:rsidRPr="007A0E99">
        <w:rPr>
          <w:rStyle w:val="Mocnowyrniony"/>
          <w:rFonts w:ascii="Segoe UI Light" w:hAnsi="Segoe UI Light" w:cs="Segoe UI Light"/>
          <w:highlight w:val="white"/>
        </w:rPr>
        <w:t>1.11</w:t>
      </w:r>
      <w:r w:rsidRPr="007A0E99">
        <w:rPr>
          <w:rStyle w:val="Mocnowyrniony"/>
          <w:rFonts w:ascii="Segoe UI Light" w:hAnsi="Segoe UI Light" w:cs="Segoe UI Light"/>
          <w:b w:val="0"/>
          <w:bCs w:val="0"/>
          <w:highlight w:val="white"/>
        </w:rPr>
        <w:t xml:space="preserve"> </w:t>
      </w:r>
      <w:r w:rsidRPr="007A0E99">
        <w:rPr>
          <w:rStyle w:val="Mocnowyrniony"/>
          <w:rFonts w:ascii="Segoe UI Light" w:hAnsi="Segoe UI Light" w:cs="Segoe UI Light"/>
          <w:highlight w:val="white"/>
        </w:rPr>
        <w:t>(I piętro).</w:t>
      </w:r>
    </w:p>
    <w:p w14:paraId="2DCE56F4" w14:textId="4CC5FE80" w:rsidR="00F42959" w:rsidRPr="00203ADB" w:rsidRDefault="00C92330" w:rsidP="00412D58">
      <w:pPr>
        <w:pStyle w:val="Tekstpodstawowy"/>
        <w:rPr>
          <w:rStyle w:val="Pogrubienie"/>
          <w:rFonts w:ascii="Segoe UI Light" w:hAnsi="Segoe UI Light" w:cs="Segoe UI Light"/>
          <w:b w:val="0"/>
          <w:bCs w:val="0"/>
        </w:rPr>
      </w:pP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Warunkiem przystąpienia do przetargu jest wpłacenie wadium w nieprzekraczalnym terminie </w:t>
      </w:r>
      <w:r w:rsidRPr="007A0E99">
        <w:rPr>
          <w:rStyle w:val="Mocnowyrniony"/>
          <w:rFonts w:ascii="Segoe UI Light" w:hAnsi="Segoe UI Light" w:cs="Segoe UI Light"/>
          <w:highlight w:val="white"/>
        </w:rPr>
        <w:br/>
      </w:r>
      <w:bookmarkStart w:id="7" w:name="_Hlk80599795"/>
      <w:r w:rsidRPr="007A0E99">
        <w:rPr>
          <w:rStyle w:val="Mocnowyrniony"/>
          <w:rFonts w:ascii="Segoe UI Light" w:hAnsi="Segoe UI Light" w:cs="Segoe UI Light"/>
          <w:highlight w:val="white"/>
        </w:rPr>
        <w:t xml:space="preserve">do dnia </w:t>
      </w:r>
      <w:r w:rsidR="004B3064">
        <w:rPr>
          <w:rStyle w:val="Mocnowyrniony"/>
          <w:rFonts w:ascii="Segoe UI Light" w:hAnsi="Segoe UI Light" w:cs="Segoe UI Light"/>
          <w:highlight w:val="white"/>
        </w:rPr>
        <w:t>2</w:t>
      </w:r>
      <w:r w:rsidR="006D0A9B">
        <w:rPr>
          <w:rStyle w:val="Mocnowyrniony"/>
          <w:rFonts w:ascii="Segoe UI Light" w:hAnsi="Segoe UI Light" w:cs="Segoe UI Light"/>
          <w:highlight w:val="white"/>
        </w:rPr>
        <w:t>5</w:t>
      </w:r>
      <w:r w:rsidRPr="007A0E99">
        <w:rPr>
          <w:rStyle w:val="Mocnowyrniony"/>
          <w:rFonts w:ascii="Segoe UI Light" w:hAnsi="Segoe UI Light" w:cs="Segoe UI Light"/>
          <w:highlight w:val="white"/>
        </w:rPr>
        <w:t>.</w:t>
      </w:r>
      <w:r w:rsidR="006D0A9B">
        <w:rPr>
          <w:rStyle w:val="Mocnowyrniony"/>
          <w:rFonts w:ascii="Segoe UI Light" w:hAnsi="Segoe UI Light" w:cs="Segoe UI Light"/>
          <w:highlight w:val="white"/>
        </w:rPr>
        <w:t>09</w:t>
      </w:r>
      <w:r w:rsidRPr="007A0E99">
        <w:rPr>
          <w:rStyle w:val="Mocnowyrniony"/>
          <w:rFonts w:ascii="Segoe UI Light" w:hAnsi="Segoe UI Light" w:cs="Segoe UI Light"/>
          <w:highlight w:val="white"/>
        </w:rPr>
        <w:t>.202</w:t>
      </w:r>
      <w:r w:rsidR="0001602E">
        <w:rPr>
          <w:rStyle w:val="Mocnowyrniony"/>
          <w:rFonts w:ascii="Segoe UI Light" w:hAnsi="Segoe UI Light" w:cs="Segoe UI Light"/>
          <w:highlight w:val="white"/>
        </w:rPr>
        <w:t>3</w:t>
      </w:r>
      <w:r w:rsidRPr="007A0E99">
        <w:rPr>
          <w:rStyle w:val="Mocnowyrniony"/>
          <w:rFonts w:ascii="Segoe UI Light" w:hAnsi="Segoe UI Light" w:cs="Segoe UI Light"/>
          <w:highlight w:val="white"/>
        </w:rPr>
        <w:t xml:space="preserve"> r. </w:t>
      </w:r>
      <w:bookmarkStart w:id="8" w:name="__DdeLink__4196_258089183"/>
      <w:r w:rsidRPr="007A0E99">
        <w:rPr>
          <w:rStyle w:val="Pogrubienie"/>
          <w:rFonts w:ascii="Segoe UI Light" w:hAnsi="Segoe UI Light" w:cs="Segoe UI Light"/>
          <w:b w:val="0"/>
          <w:bCs w:val="0"/>
          <w:color w:val="000000" w:themeColor="text1"/>
          <w:highlight w:val="white"/>
        </w:rPr>
        <w:t>(data zaksięgowania na gminnym koncie)</w:t>
      </w:r>
      <w:bookmarkEnd w:id="8"/>
      <w:r w:rsidR="00FB4B32" w:rsidRPr="007A0E99">
        <w:rPr>
          <w:rStyle w:val="Mocnowyrniony"/>
          <w:rFonts w:ascii="Segoe UI Light" w:hAnsi="Segoe UI Light" w:cs="Segoe UI Light"/>
        </w:rPr>
        <w:t>.</w:t>
      </w:r>
      <w:bookmarkEnd w:id="7"/>
    </w:p>
    <w:p w14:paraId="5FEA8D0E" w14:textId="77777777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Wadium należy wpłacić przelewem na konto Gminy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prowadzone przez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</w:t>
      </w:r>
      <w:r w:rsidRPr="007A0E99">
        <w:rPr>
          <w:rStyle w:val="Pogrubienie"/>
          <w:rFonts w:ascii="Segoe UI Light" w:hAnsi="Segoe UI Light" w:cs="Segoe UI Light"/>
          <w:b w:val="0"/>
          <w:sz w:val="22"/>
          <w:szCs w:val="22"/>
          <w:highlight w:val="white"/>
        </w:rPr>
        <w:t>MAZOVIA Bank Spółdzielczy w Górze Kalwarii</w:t>
      </w:r>
      <w:r w:rsidRPr="007A0E99">
        <w:rPr>
          <w:rStyle w:val="Pogrubienie"/>
          <w:rFonts w:ascii="Segoe UI Light" w:hAnsi="Segoe UI Light" w:cs="Segoe UI Light"/>
          <w:sz w:val="22"/>
          <w:szCs w:val="22"/>
          <w:highlight w:val="white"/>
        </w:rPr>
        <w:t xml:space="preserve"> nr  46 8003 0003 2001 0000 0635 0005</w:t>
      </w:r>
    </w:p>
    <w:p w14:paraId="443237B0" w14:textId="77777777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lastRenderedPageBreak/>
        <w:t>Wadium przepada jeżeli wyłoniony w przetargu nabywca uchyli się od zawarcia umowy.</w:t>
      </w:r>
      <w:bookmarkStart w:id="9" w:name="__DdeLink__2415_887283139"/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Oferentom, którzy przetargu nie wygrali wadium zwraca się niezwłocznie po odwołaniu lub zamknięciu przetargu, jednak nie później niż przed upływem 3 dni od dnia odwołania, zamknięcia, unieważnienia, zakończenia przetargu wynikiem negatywnym. </w:t>
      </w:r>
      <w:bookmarkEnd w:id="9"/>
    </w:p>
    <w:p w14:paraId="558F4077" w14:textId="6AD53604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Nabywca nieruchomości wyłoniony w drodze przetargu ponosi koszty notarialne i sądowe związane z przeniesieniem prawa własności nieruchomości. Organizator przetargu zawiadamia nabywcę </w:t>
      </w:r>
      <w:r w:rsidR="00D7458E">
        <w:rPr>
          <w:rFonts w:ascii="Segoe UI Light" w:hAnsi="Segoe UI Light" w:cs="Segoe UI Light"/>
          <w:sz w:val="22"/>
          <w:szCs w:val="22"/>
          <w:highlight w:val="white"/>
        </w:rPr>
        <w:br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w terminie 21 dni od dnia rozstrzygnięcia przetargu o miejscu i terminie zawarcia umowy sprzedaży. Sprzedający nie odpowiada za ukryte wady zbywanej nieruchomości w tym także 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br/>
        <w:t>za nie ujawniony w Zasobie Geodezyjnym i Kartograficznym przebieg podziemnych mediów. Nabywca przejmuje nieruchomość w stanie istniejącym. Cena nieruchomości sprzedanej w drodze przetargu podlega zapłacie nie później niż do dnia zawarcia umowy przenoszącej własność.</w:t>
      </w:r>
    </w:p>
    <w:p w14:paraId="73A8F3CA" w14:textId="55A7D924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Dodatkowe informacje na temat przetargu można uzyskać w Urzędzie Miasta i Gminy Góra Kalwaria ul. 3 Maja 10 w pokoju 210, telefon </w:t>
      </w:r>
      <w:r w:rsidRPr="00F62124">
        <w:rPr>
          <w:rFonts w:ascii="Segoe UI Light" w:hAnsi="Segoe UI Light" w:cs="Segoe UI Light"/>
          <w:b/>
          <w:bCs/>
          <w:sz w:val="22"/>
          <w:szCs w:val="22"/>
          <w:highlight w:val="white"/>
        </w:rPr>
        <w:t xml:space="preserve">(22) </w:t>
      </w:r>
      <w:r w:rsidR="001148CD" w:rsidRPr="00F62124">
        <w:rPr>
          <w:rFonts w:ascii="Segoe UI Light" w:hAnsi="Segoe UI Light" w:cs="Segoe UI Light"/>
          <w:b/>
          <w:bCs/>
          <w:sz w:val="22"/>
          <w:szCs w:val="22"/>
          <w:highlight w:val="white"/>
        </w:rPr>
        <w:t>484 33 74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, e-mail: </w:t>
      </w:r>
      <w:r w:rsidRPr="00F62124">
        <w:rPr>
          <w:rFonts w:ascii="Segoe UI Light" w:hAnsi="Segoe UI Light" w:cs="Segoe UI Light"/>
          <w:b/>
          <w:bCs/>
          <w:sz w:val="22"/>
          <w:szCs w:val="22"/>
          <w:highlight w:val="white"/>
        </w:rPr>
        <w:t>i.makuch@gorakalwaria.pl</w:t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 xml:space="preserve"> oraz na stronie internetowej </w:t>
      </w:r>
      <w:hyperlink r:id="rId5">
        <w:r w:rsidRPr="007A0E99">
          <w:rPr>
            <w:rStyle w:val="czeinternetowe"/>
            <w:rFonts w:ascii="Segoe UI Light" w:hAnsi="Segoe UI Light" w:cs="Segoe UI Light"/>
            <w:color w:val="000000" w:themeColor="text1"/>
            <w:sz w:val="22"/>
            <w:szCs w:val="22"/>
            <w:highlight w:val="white"/>
          </w:rPr>
          <w:t>www.bip.gorakalwaria.pl</w:t>
        </w:r>
      </w:hyperlink>
      <w:r w:rsidRPr="007A0E99">
        <w:rPr>
          <w:rFonts w:ascii="Segoe UI Light" w:hAnsi="Segoe UI Light" w:cs="Segoe UI Light"/>
          <w:color w:val="000000" w:themeColor="text1"/>
          <w:sz w:val="22"/>
          <w:szCs w:val="22"/>
          <w:highlight w:val="white"/>
        </w:rPr>
        <w:t>.</w:t>
      </w:r>
    </w:p>
    <w:p w14:paraId="3CF29A89" w14:textId="6AD004F3" w:rsidR="000367D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>Przetarg może być odwołany z uzasadnionej przyczyny, w tym przypadku wadium podlega zwrotowi wszystkim uczestnikom przetargu.</w:t>
      </w:r>
    </w:p>
    <w:p w14:paraId="2F03E251" w14:textId="77777777" w:rsidR="00E5057A" w:rsidRPr="00203ADB" w:rsidRDefault="00E5057A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46E09399" w14:textId="77B474B4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sz w:val="22"/>
          <w:szCs w:val="22"/>
          <w:highlight w:val="white"/>
        </w:rPr>
        <w:tab/>
        <w:t xml:space="preserve"> </w:t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  Burmistrz Miasta i Gminy</w:t>
      </w:r>
    </w:p>
    <w:p w14:paraId="650547FA" w14:textId="4252382D" w:rsidR="00F42959" w:rsidRPr="00412D58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i/>
          <w:iCs/>
          <w:sz w:val="22"/>
          <w:szCs w:val="22"/>
        </w:rPr>
      </w:pP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="00656198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</w:t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Góra Kalwaria </w:t>
      </w:r>
    </w:p>
    <w:p w14:paraId="16A7221B" w14:textId="33603C85" w:rsidR="00F42959" w:rsidRPr="007A0E99" w:rsidRDefault="00C92330" w:rsidP="00723282">
      <w:pPr>
        <w:pStyle w:val="NormalnyWeb"/>
        <w:spacing w:beforeAutospacing="0" w:after="0" w:afterAutospacing="0" w:line="276" w:lineRule="auto"/>
        <w:jc w:val="both"/>
        <w:rPr>
          <w:rFonts w:ascii="Segoe UI Light" w:hAnsi="Segoe UI Light" w:cs="Segoe UI Light"/>
          <w:sz w:val="22"/>
          <w:szCs w:val="22"/>
        </w:rPr>
      </w:pP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ab/>
        <w:t xml:space="preserve">   </w:t>
      </w:r>
      <w:r w:rsidR="00412D58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  </w:t>
      </w:r>
      <w:r w:rsidRPr="007A0E99">
        <w:rPr>
          <w:rFonts w:ascii="Segoe UI Light" w:hAnsi="Segoe UI Light" w:cs="Segoe UI Light"/>
          <w:i/>
          <w:iCs/>
          <w:sz w:val="22"/>
          <w:szCs w:val="22"/>
          <w:highlight w:val="white"/>
        </w:rPr>
        <w:t xml:space="preserve"> </w:t>
      </w:r>
      <w:r w:rsidR="000367D9">
        <w:rPr>
          <w:rFonts w:ascii="Segoe UI Light" w:hAnsi="Segoe UI Light" w:cs="Segoe UI Light"/>
          <w:i/>
          <w:iCs/>
          <w:sz w:val="22"/>
          <w:szCs w:val="22"/>
        </w:rPr>
        <w:t>Arkadiusz Strzyżewski</w:t>
      </w:r>
    </w:p>
    <w:sectPr w:rsidR="00F42959" w:rsidRPr="007A0E99">
      <w:pgSz w:w="11906" w:h="16838"/>
      <w:pgMar w:top="1417" w:right="1417" w:bottom="1417" w:left="1417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959"/>
    <w:rsid w:val="0001602E"/>
    <w:rsid w:val="000367D9"/>
    <w:rsid w:val="0005797F"/>
    <w:rsid w:val="000A5AF9"/>
    <w:rsid w:val="000E7D0D"/>
    <w:rsid w:val="00102A30"/>
    <w:rsid w:val="001148CD"/>
    <w:rsid w:val="001169B4"/>
    <w:rsid w:val="00147C99"/>
    <w:rsid w:val="001664F4"/>
    <w:rsid w:val="00185E6E"/>
    <w:rsid w:val="001A7CF8"/>
    <w:rsid w:val="001E21D7"/>
    <w:rsid w:val="00203ADB"/>
    <w:rsid w:val="002916D8"/>
    <w:rsid w:val="002D1CD7"/>
    <w:rsid w:val="002D35F6"/>
    <w:rsid w:val="003807FC"/>
    <w:rsid w:val="003D34F7"/>
    <w:rsid w:val="00410C7B"/>
    <w:rsid w:val="00412D58"/>
    <w:rsid w:val="00425CD4"/>
    <w:rsid w:val="004466A3"/>
    <w:rsid w:val="00467917"/>
    <w:rsid w:val="0049417C"/>
    <w:rsid w:val="004B3064"/>
    <w:rsid w:val="004B7692"/>
    <w:rsid w:val="00532B92"/>
    <w:rsid w:val="00613379"/>
    <w:rsid w:val="00637615"/>
    <w:rsid w:val="0064235B"/>
    <w:rsid w:val="00656198"/>
    <w:rsid w:val="006739AA"/>
    <w:rsid w:val="00687EC0"/>
    <w:rsid w:val="006940FC"/>
    <w:rsid w:val="006A4838"/>
    <w:rsid w:val="006D0A9B"/>
    <w:rsid w:val="006F3010"/>
    <w:rsid w:val="00721D99"/>
    <w:rsid w:val="00723282"/>
    <w:rsid w:val="007802DC"/>
    <w:rsid w:val="007A0E99"/>
    <w:rsid w:val="00814564"/>
    <w:rsid w:val="00852F0A"/>
    <w:rsid w:val="008840B4"/>
    <w:rsid w:val="008B52F7"/>
    <w:rsid w:val="008E5455"/>
    <w:rsid w:val="0092236A"/>
    <w:rsid w:val="00927198"/>
    <w:rsid w:val="00962E4D"/>
    <w:rsid w:val="009C3050"/>
    <w:rsid w:val="00A075B1"/>
    <w:rsid w:val="00A369D8"/>
    <w:rsid w:val="00A46211"/>
    <w:rsid w:val="00A47B69"/>
    <w:rsid w:val="00B01BD5"/>
    <w:rsid w:val="00B50767"/>
    <w:rsid w:val="00B94384"/>
    <w:rsid w:val="00B96AA2"/>
    <w:rsid w:val="00BA6111"/>
    <w:rsid w:val="00BD1D6B"/>
    <w:rsid w:val="00C92330"/>
    <w:rsid w:val="00CA0028"/>
    <w:rsid w:val="00D13950"/>
    <w:rsid w:val="00D51A2F"/>
    <w:rsid w:val="00D72AAF"/>
    <w:rsid w:val="00D7458E"/>
    <w:rsid w:val="00DF0B16"/>
    <w:rsid w:val="00E00C88"/>
    <w:rsid w:val="00E27B8D"/>
    <w:rsid w:val="00E5057A"/>
    <w:rsid w:val="00E6717F"/>
    <w:rsid w:val="00E84E86"/>
    <w:rsid w:val="00E90527"/>
    <w:rsid w:val="00E9353E"/>
    <w:rsid w:val="00F13B0B"/>
    <w:rsid w:val="00F42959"/>
    <w:rsid w:val="00F62124"/>
    <w:rsid w:val="00F96E84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6CD0"/>
  <w15:docId w15:val="{15CCB23C-58F5-4BD9-BBFE-7BE9F254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17566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17566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3FA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000000" w:themeColor="text1"/>
      <w:sz w:val="22"/>
      <w:szCs w:val="22"/>
    </w:rPr>
  </w:style>
  <w:style w:type="character" w:customStyle="1" w:styleId="ListLabel2">
    <w:name w:val="ListLabel 2"/>
    <w:qFormat/>
    <w:rPr>
      <w:color w:val="000000" w:themeColor="text1"/>
      <w:sz w:val="22"/>
      <w:szCs w:val="22"/>
      <w:highlight w:val="white"/>
    </w:rPr>
  </w:style>
  <w:style w:type="character" w:customStyle="1" w:styleId="ListLabel3">
    <w:name w:val="ListLabel 3"/>
    <w:qFormat/>
    <w:rPr>
      <w:color w:val="000000" w:themeColor="text1"/>
      <w:sz w:val="22"/>
      <w:szCs w:val="22"/>
      <w:highlight w:val="white"/>
    </w:rPr>
  </w:style>
  <w:style w:type="character" w:customStyle="1" w:styleId="ListLabel4">
    <w:name w:val="ListLabel 4"/>
    <w:qFormat/>
    <w:rPr>
      <w:color w:val="000000" w:themeColor="text1"/>
      <w:sz w:val="22"/>
      <w:szCs w:val="22"/>
      <w:highlight w:val="whit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5">
    <w:name w:val="ListLabel 5"/>
    <w:qFormat/>
    <w:rPr>
      <w:color w:val="000000" w:themeColor="text1"/>
      <w:sz w:val="22"/>
      <w:szCs w:val="22"/>
      <w:highlight w:val="white"/>
    </w:rPr>
  </w:style>
  <w:style w:type="character" w:customStyle="1" w:styleId="ListLabel6">
    <w:name w:val="ListLabel 6"/>
    <w:qFormat/>
    <w:rPr>
      <w:color w:val="000000" w:themeColor="text1"/>
      <w:sz w:val="22"/>
      <w:szCs w:val="22"/>
      <w:highlight w:val="white"/>
    </w:rPr>
  </w:style>
  <w:style w:type="character" w:customStyle="1" w:styleId="ListLabel7">
    <w:name w:val="ListLabel 7"/>
    <w:qFormat/>
    <w:rPr>
      <w:color w:val="000000" w:themeColor="text1"/>
      <w:sz w:val="22"/>
      <w:szCs w:val="22"/>
      <w:highlight w:val="white"/>
    </w:rPr>
  </w:style>
  <w:style w:type="character" w:customStyle="1" w:styleId="ListLabel8">
    <w:name w:val="ListLabel 8"/>
    <w:qFormat/>
    <w:rPr>
      <w:color w:val="000000" w:themeColor="text1"/>
      <w:sz w:val="22"/>
      <w:szCs w:val="22"/>
      <w:highlight w:val="white"/>
    </w:rPr>
  </w:style>
  <w:style w:type="character" w:customStyle="1" w:styleId="ListLabel9">
    <w:name w:val="ListLabel 9"/>
    <w:qFormat/>
    <w:rPr>
      <w:color w:val="000000" w:themeColor="text1"/>
      <w:sz w:val="22"/>
      <w:szCs w:val="22"/>
      <w:highlight w:val="white"/>
    </w:rPr>
  </w:style>
  <w:style w:type="character" w:customStyle="1" w:styleId="ListLabel10">
    <w:name w:val="ListLabel 10"/>
    <w:qFormat/>
    <w:rPr>
      <w:color w:val="000000" w:themeColor="text1"/>
      <w:sz w:val="22"/>
      <w:szCs w:val="22"/>
      <w:highlight w:val="white"/>
    </w:rPr>
  </w:style>
  <w:style w:type="character" w:customStyle="1" w:styleId="ListLabel11">
    <w:name w:val="ListLabel 11"/>
    <w:qFormat/>
    <w:rPr>
      <w:color w:val="000000" w:themeColor="text1"/>
      <w:sz w:val="22"/>
      <w:szCs w:val="22"/>
      <w:highlight w:val="white"/>
    </w:rPr>
  </w:style>
  <w:style w:type="character" w:customStyle="1" w:styleId="ListLabel12">
    <w:name w:val="ListLabel 12"/>
    <w:qFormat/>
    <w:rPr>
      <w:color w:val="000000" w:themeColor="text1"/>
      <w:sz w:val="22"/>
      <w:szCs w:val="22"/>
      <w:highlight w:val="white"/>
    </w:rPr>
  </w:style>
  <w:style w:type="character" w:customStyle="1" w:styleId="ListLabel13">
    <w:name w:val="ListLabel 13"/>
    <w:qFormat/>
    <w:rPr>
      <w:color w:val="000000" w:themeColor="text1"/>
      <w:sz w:val="22"/>
      <w:szCs w:val="22"/>
      <w:highlight w:val="white"/>
    </w:rPr>
  </w:style>
  <w:style w:type="character" w:customStyle="1" w:styleId="ListLabel14">
    <w:name w:val="ListLabel 14"/>
    <w:qFormat/>
    <w:rPr>
      <w:color w:val="000000" w:themeColor="text1"/>
      <w:sz w:val="22"/>
      <w:szCs w:val="22"/>
      <w:highlight w:val="white"/>
    </w:rPr>
  </w:style>
  <w:style w:type="character" w:customStyle="1" w:styleId="ListLabel15">
    <w:name w:val="ListLabel 15"/>
    <w:qFormat/>
    <w:rPr>
      <w:color w:val="000000" w:themeColor="text1"/>
      <w:sz w:val="22"/>
      <w:szCs w:val="22"/>
      <w:highlight w:val="white"/>
    </w:rPr>
  </w:style>
  <w:style w:type="character" w:customStyle="1" w:styleId="ListLabel16">
    <w:name w:val="ListLabel 16"/>
    <w:qFormat/>
    <w:rPr>
      <w:color w:val="000000" w:themeColor="text1"/>
      <w:sz w:val="22"/>
      <w:szCs w:val="22"/>
      <w:highlight w:val="white"/>
    </w:rPr>
  </w:style>
  <w:style w:type="character" w:customStyle="1" w:styleId="ListLabel17">
    <w:name w:val="ListLabel 17"/>
    <w:qFormat/>
    <w:rPr>
      <w:color w:val="000000" w:themeColor="text1"/>
      <w:sz w:val="22"/>
      <w:szCs w:val="22"/>
      <w:highlight w:val="white"/>
    </w:rPr>
  </w:style>
  <w:style w:type="character" w:customStyle="1" w:styleId="ListLabel18">
    <w:name w:val="ListLabel 18"/>
    <w:qFormat/>
    <w:rPr>
      <w:color w:val="000000" w:themeColor="text1"/>
      <w:sz w:val="22"/>
      <w:szCs w:val="22"/>
      <w:highlight w:val="white"/>
    </w:rPr>
  </w:style>
  <w:style w:type="character" w:customStyle="1" w:styleId="ListLabel19">
    <w:name w:val="ListLabel 19"/>
    <w:qFormat/>
    <w:rPr>
      <w:color w:val="000000" w:themeColor="text1"/>
      <w:sz w:val="22"/>
      <w:szCs w:val="22"/>
      <w:highlight w:val="white"/>
    </w:rPr>
  </w:style>
  <w:style w:type="character" w:customStyle="1" w:styleId="ListLabel20">
    <w:name w:val="ListLabel 20"/>
    <w:qFormat/>
    <w:rPr>
      <w:color w:val="000000" w:themeColor="text1"/>
      <w:sz w:val="22"/>
      <w:szCs w:val="22"/>
      <w:highlight w:val="white"/>
    </w:rPr>
  </w:style>
  <w:style w:type="character" w:customStyle="1" w:styleId="ListLabel21">
    <w:name w:val="ListLabel 21"/>
    <w:qFormat/>
    <w:rPr>
      <w:color w:val="000000" w:themeColor="text1"/>
      <w:sz w:val="22"/>
      <w:szCs w:val="22"/>
      <w:highlight w:val="white"/>
    </w:rPr>
  </w:style>
  <w:style w:type="character" w:customStyle="1" w:styleId="ListLabel22">
    <w:name w:val="ListLabel 22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3">
    <w:name w:val="ListLabel 23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4">
    <w:name w:val="ListLabel 24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5">
    <w:name w:val="ListLabel 25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6">
    <w:name w:val="ListLabel 26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7">
    <w:name w:val="ListLabel 27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8">
    <w:name w:val="ListLabel 28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29">
    <w:name w:val="ListLabel 29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0">
    <w:name w:val="ListLabel 30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1">
    <w:name w:val="ListLabel 31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2">
    <w:name w:val="ListLabel 32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3">
    <w:name w:val="ListLabel 33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4">
    <w:name w:val="ListLabel 34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5">
    <w:name w:val="ListLabel 35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6">
    <w:name w:val="ListLabel 36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7">
    <w:name w:val="ListLabel 37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8">
    <w:name w:val="ListLabel 38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39">
    <w:name w:val="ListLabel 39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40">
    <w:name w:val="ListLabel 40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41">
    <w:name w:val="ListLabel 41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42">
    <w:name w:val="ListLabel 42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character" w:customStyle="1" w:styleId="ListLabel43">
    <w:name w:val="ListLabel 43"/>
    <w:qFormat/>
    <w:rPr>
      <w:rFonts w:ascii="Segoe UI Light" w:hAnsi="Segoe UI Light"/>
      <w:color w:val="000000" w:themeColor="text1"/>
      <w:sz w:val="22"/>
      <w:szCs w:val="22"/>
      <w:highlight w:val="whit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1175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3FA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gorakalwaria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1043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Pałyska</dc:creator>
  <dc:description/>
  <cp:lastModifiedBy>Ilona Makuch</cp:lastModifiedBy>
  <cp:revision>11</cp:revision>
  <cp:lastPrinted>2021-06-07T06:44:00Z</cp:lastPrinted>
  <dcterms:created xsi:type="dcterms:W3CDTF">2023-08-22T08:43:00Z</dcterms:created>
  <dcterms:modified xsi:type="dcterms:W3CDTF">2023-08-22T12:34:00Z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