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63A01190" w14:textId="4AAEF7C3" w:rsidR="00F42959" w:rsidRPr="00656198" w:rsidRDefault="00C92330" w:rsidP="00656198">
      <w:pPr>
        <w:pStyle w:val="NormalnyWeb"/>
        <w:spacing w:beforeAutospacing="0" w:after="280"/>
        <w:jc w:val="both"/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E90527">
        <w:rPr>
          <w:rStyle w:val="Pogrubienie"/>
          <w:rFonts w:ascii="Segoe UI Light" w:hAnsi="Segoe UI Light" w:cs="Segoe UI Light"/>
          <w:sz w:val="22"/>
          <w:szCs w:val="22"/>
        </w:rPr>
        <w:t>12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425CD4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       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</w:p>
    <w:p w14:paraId="0ECEBCA6" w14:textId="77777777" w:rsidR="00F42959" w:rsidRPr="007A0E99" w:rsidRDefault="00C92330" w:rsidP="00723282">
      <w:pPr>
        <w:pStyle w:val="NormalnyWeb"/>
        <w:spacing w:beforeAutospacing="0" w:after="28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684DE7AF" w14:textId="5849EC01" w:rsidR="006739AA" w:rsidRPr="00185E6E" w:rsidRDefault="00C92330" w:rsidP="00425CD4">
      <w:pPr>
        <w:pStyle w:val="NormalnyWeb"/>
        <w:spacing w:after="0" w:line="276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bookmarkStart w:id="1" w:name="_Hlk143086026"/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pierwszy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nieograniczony na sprzedaż prawa własności 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l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>okal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u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</w:t>
      </w:r>
      <w:r w:rsidR="00B50767" w:rsidRPr="00B50767">
        <w:rPr>
          <w:rFonts w:ascii="Segoe UI Light" w:hAnsi="Segoe UI Light" w:cs="Segoe UI Light"/>
          <w:bCs/>
          <w:sz w:val="22"/>
          <w:szCs w:val="22"/>
        </w:rPr>
        <w:t>mieszkalnego nr 14 o pow. 36,39 m2 wraz z pomieszczeniem przynależnym: piwnicą o pow. 3,71 m2</w:t>
      </w:r>
      <w:r w:rsidR="00B50767">
        <w:rPr>
          <w:rFonts w:ascii="Segoe UI Light" w:hAnsi="Segoe UI Light" w:cs="Segoe UI Light"/>
          <w:bCs/>
          <w:sz w:val="22"/>
          <w:szCs w:val="22"/>
        </w:rPr>
        <w:t>, położonego</w:t>
      </w:r>
      <w:r w:rsidR="00B50767" w:rsidRPr="00B50767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przy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ul. 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Armii Krajowej 8</w:t>
      </w:r>
      <w:r w:rsidR="00424C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w mieście Góra Kalwaria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, lokal w budynku wielorodzinnym położonym na działce ewidencyjnej nr 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75 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>o powierzchni 0,</w:t>
      </w:r>
      <w:r w:rsidR="00B50767">
        <w:rPr>
          <w:rFonts w:ascii="Segoe UI Light" w:hAnsi="Segoe UI Light" w:cs="Segoe UI Light"/>
          <w:bCs/>
          <w:sz w:val="22"/>
          <w:szCs w:val="22"/>
          <w:highlight w:val="white"/>
        </w:rPr>
        <w:t>0967</w:t>
      </w:r>
      <w:r w:rsidR="00B50767" w:rsidRPr="00073722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ha</w:t>
      </w:r>
      <w:bookmarkEnd w:id="1"/>
      <w:r w:rsidR="00F05623">
        <w:rPr>
          <w:rFonts w:ascii="Segoe UI Light" w:hAnsi="Segoe UI Light" w:cs="Segoe UI Light"/>
          <w:bCs/>
          <w:sz w:val="22"/>
          <w:szCs w:val="22"/>
        </w:rPr>
        <w:t>, obręb 6-01</w:t>
      </w:r>
      <w:r w:rsidR="00185E6E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, 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d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2" w:name="__DdeLink__2639_2206663936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202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</w:t>
      </w:r>
      <w:r w:rsidR="0006447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2213 t.j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bookmarkStart w:id="3" w:name="_Hlk143083703"/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uchwałą nr </w:t>
      </w:r>
      <w:bookmarkEnd w:id="3"/>
      <w:r w:rsidR="00B50767" w:rsidRPr="00B50767">
        <w:rPr>
          <w:rFonts w:ascii="Segoe UI Light" w:hAnsi="Segoe UI Light" w:cs="Segoe UI Light"/>
          <w:sz w:val="22"/>
          <w:szCs w:val="22"/>
        </w:rPr>
        <w:t>XC/779/2023 Rady Miejskiej Góry Kalwarii z dnia 22 lutego 2023 r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ustawy z dnia 21 sierpnia 1997 r.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</w:t>
      </w:r>
      <w:r w:rsidR="00424C22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 dniach od 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17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r. do 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07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4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</w:p>
    <w:p w14:paraId="0AA5B87B" w14:textId="6A1AF9F3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6D0A9B">
        <w:rPr>
          <w:rStyle w:val="Pogrubienie"/>
          <w:rFonts w:ascii="Segoe UI Light" w:hAnsi="Segoe UI Light" w:cs="Segoe UI Light"/>
          <w:sz w:val="22"/>
          <w:szCs w:val="22"/>
        </w:rPr>
        <w:t>169 500</w:t>
      </w:r>
      <w:r w:rsidR="00687EC0" w:rsidRPr="00687EC0">
        <w:rPr>
          <w:rStyle w:val="Pogrubienie"/>
          <w:rFonts w:ascii="Segoe UI Light" w:hAnsi="Segoe UI Light" w:cs="Segoe UI Light"/>
          <w:sz w:val="22"/>
          <w:szCs w:val="22"/>
        </w:rPr>
        <w:t xml:space="preserve"> zł</w:t>
      </w:r>
      <w:r w:rsidR="00687EC0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Wadium  -  </w:t>
      </w:r>
      <w:r w:rsidR="006D0A9B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11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628D4E3D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8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10:00</w:t>
      </w:r>
    </w:p>
    <w:p w14:paraId="0F819269" w14:textId="5627851B" w:rsidR="00B96AA2" w:rsidRDefault="00B96AA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(data zaksięgowania na gminnym koncie)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012069BB" w14:textId="77777777" w:rsidR="004466A3" w:rsidRPr="007A0E99" w:rsidRDefault="004466A3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</w:p>
    <w:p w14:paraId="4890EA56" w14:textId="74275A3F" w:rsidR="00185E6E" w:rsidRDefault="00185E6E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185E6E">
        <w:rPr>
          <w:rFonts w:ascii="Segoe UI Light" w:hAnsi="Segoe UI Light" w:cs="Segoe UI Light"/>
          <w:sz w:val="22"/>
          <w:szCs w:val="22"/>
        </w:rPr>
        <w:t xml:space="preserve">Lokal niewyodrębniony, dlatego nie ma założonej księgi wieczystej lokalowej. Lokal mieszkalny nr 14 o powierzchni użytkowej 36,39 m2 położony jest na </w:t>
      </w:r>
      <w:r w:rsidR="0092236A">
        <w:rPr>
          <w:rFonts w:ascii="Segoe UI Light" w:hAnsi="Segoe UI Light" w:cs="Segoe UI Light"/>
          <w:sz w:val="22"/>
          <w:szCs w:val="22"/>
        </w:rPr>
        <w:t>czwartej niskiej</w:t>
      </w:r>
      <w:r w:rsidRPr="00185E6E">
        <w:rPr>
          <w:rFonts w:ascii="Segoe UI Light" w:hAnsi="Segoe UI Light" w:cs="Segoe UI Light"/>
          <w:sz w:val="22"/>
          <w:szCs w:val="22"/>
        </w:rPr>
        <w:t xml:space="preserve"> kondygnacji budynku,</w:t>
      </w:r>
      <w:r w:rsidR="0092236A">
        <w:rPr>
          <w:rFonts w:ascii="Segoe UI Light" w:hAnsi="Segoe UI Light" w:cs="Segoe UI Light"/>
          <w:sz w:val="22"/>
          <w:szCs w:val="22"/>
        </w:rPr>
        <w:t xml:space="preserve"> narożnie,</w:t>
      </w:r>
      <w:r w:rsidRPr="00185E6E">
        <w:rPr>
          <w:rFonts w:ascii="Segoe UI Light" w:hAnsi="Segoe UI Light" w:cs="Segoe UI Light"/>
          <w:sz w:val="22"/>
          <w:szCs w:val="22"/>
        </w:rPr>
        <w:t xml:space="preserve"> posiada instalację elektryczną, wodociągową i kanalizacyjną, ogrzewanie centralne. Do lokalu przynależy piwnica o powierzchni 3,71 m2. Z własnością lokalu związany jest udział 4010/81641 części we własności działki na której posadowiony jest budynek oraz w częściach wspólnych budynku. Lokal składa się z</w:t>
      </w:r>
      <w:r w:rsidR="00AE1E3E">
        <w:rPr>
          <w:rFonts w:ascii="Segoe UI Light" w:hAnsi="Segoe UI Light" w:cs="Segoe UI Light"/>
          <w:sz w:val="22"/>
          <w:szCs w:val="22"/>
        </w:rPr>
        <w:t xml:space="preserve"> przedpokoju wraz z kuchnią,</w:t>
      </w:r>
      <w:r w:rsidRPr="00185E6E">
        <w:rPr>
          <w:rFonts w:ascii="Segoe UI Light" w:hAnsi="Segoe UI Light" w:cs="Segoe UI Light"/>
          <w:sz w:val="22"/>
          <w:szCs w:val="22"/>
        </w:rPr>
        <w:t xml:space="preserve"> łazienki i </w:t>
      </w:r>
      <w:r w:rsidR="00AE1E3E">
        <w:rPr>
          <w:rFonts w:ascii="Segoe UI Light" w:hAnsi="Segoe UI Light" w:cs="Segoe UI Light"/>
          <w:sz w:val="22"/>
          <w:szCs w:val="22"/>
        </w:rPr>
        <w:t>dwóch pokoi oraz pomieszczeniem przynależnym–piwnicą P14, usytuowanej na pierwszej kondygnacji podziemnej, który jest samodzielnym lokalem mieszkalnym</w:t>
      </w:r>
      <w:r>
        <w:rPr>
          <w:rFonts w:ascii="Segoe UI Light" w:hAnsi="Segoe UI Light" w:cs="Segoe UI Light"/>
          <w:sz w:val="22"/>
          <w:szCs w:val="22"/>
        </w:rPr>
        <w:t>.</w:t>
      </w:r>
    </w:p>
    <w:p w14:paraId="7D7B94A0" w14:textId="77777777" w:rsidR="0092236A" w:rsidRDefault="0092236A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E730BE2" w14:textId="56BA620E" w:rsidR="00185E6E" w:rsidRDefault="006940FC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Dla lokalu przedmiotowej nieruchomości lokalowej zostało wydane świadectwo charakterystyki energetycznej nr. SCHE/12954/60/2023 w dniu 21.07.2023 r.</w:t>
      </w:r>
    </w:p>
    <w:p w14:paraId="3869BA58" w14:textId="4AB86EF4" w:rsidR="00185E6E" w:rsidRDefault="006D0A9B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6D0A9B">
        <w:rPr>
          <w:rFonts w:ascii="Segoe UI Light" w:hAnsi="Segoe UI Light" w:cs="Segoe UI Light"/>
          <w:sz w:val="22"/>
          <w:szCs w:val="22"/>
        </w:rPr>
        <w:t xml:space="preserve">W miejscowym planie zagospodarowania przestrzennego, przedmiotowa </w:t>
      </w:r>
      <w:r w:rsidR="00185E6E">
        <w:rPr>
          <w:rFonts w:ascii="Segoe UI Light" w:hAnsi="Segoe UI Light" w:cs="Segoe UI Light"/>
          <w:sz w:val="22"/>
          <w:szCs w:val="22"/>
        </w:rPr>
        <w:t xml:space="preserve">nieruchomość </w:t>
      </w:r>
      <w:r w:rsidRPr="006D0A9B">
        <w:rPr>
          <w:rFonts w:ascii="Segoe UI Light" w:hAnsi="Segoe UI Light" w:cs="Segoe UI Light"/>
          <w:sz w:val="22"/>
          <w:szCs w:val="22"/>
        </w:rPr>
        <w:t xml:space="preserve"> przeznaczona jest </w:t>
      </w:r>
      <w:r w:rsidR="003D6357" w:rsidRPr="003D6357">
        <w:rPr>
          <w:rFonts w:ascii="Segoe UI Light" w:hAnsi="Segoe UI Light" w:cs="Segoe UI Light"/>
          <w:sz w:val="22"/>
          <w:szCs w:val="22"/>
        </w:rPr>
        <w:t xml:space="preserve">pod zabudowę mieszkaniową wielorodzinną, o symbolu </w:t>
      </w:r>
      <w:r w:rsidR="003D6357">
        <w:rPr>
          <w:rFonts w:ascii="Segoe UI Light" w:hAnsi="Segoe UI Light" w:cs="Segoe UI Light"/>
          <w:sz w:val="22"/>
          <w:szCs w:val="22"/>
        </w:rPr>
        <w:t>1M</w:t>
      </w:r>
      <w:r w:rsidR="003D6357" w:rsidRPr="003D6357">
        <w:rPr>
          <w:rFonts w:ascii="Segoe UI Light" w:hAnsi="Segoe UI Light" w:cs="Segoe UI Light"/>
          <w:sz w:val="22"/>
          <w:szCs w:val="22"/>
        </w:rPr>
        <w:t>W</w:t>
      </w:r>
      <w:r w:rsidR="003D6357">
        <w:rPr>
          <w:rFonts w:ascii="Segoe UI Light" w:hAnsi="Segoe UI Light" w:cs="Segoe UI Light"/>
          <w:sz w:val="22"/>
          <w:szCs w:val="22"/>
        </w:rPr>
        <w:t xml:space="preserve"> i</w:t>
      </w:r>
      <w:r w:rsidR="003D6357" w:rsidRPr="003D6357">
        <w:rPr>
          <w:rFonts w:ascii="Segoe UI Light" w:hAnsi="Segoe UI Light" w:cs="Segoe UI Light"/>
          <w:sz w:val="22"/>
          <w:szCs w:val="22"/>
        </w:rPr>
        <w:t xml:space="preserve"> </w:t>
      </w:r>
      <w:r w:rsidRPr="006D0A9B">
        <w:rPr>
          <w:rFonts w:ascii="Segoe UI Light" w:hAnsi="Segoe UI Light" w:cs="Segoe UI Light"/>
          <w:sz w:val="22"/>
          <w:szCs w:val="22"/>
        </w:rPr>
        <w:t>pod zabudowę mieszkaniową wielorodzinną z usługami</w:t>
      </w:r>
      <w:r w:rsidR="00300C66">
        <w:rPr>
          <w:rFonts w:ascii="Segoe UI Light" w:hAnsi="Segoe UI Light" w:cs="Segoe UI Light"/>
          <w:sz w:val="22"/>
          <w:szCs w:val="22"/>
        </w:rPr>
        <w:t>, o symbolu 6MW/U</w:t>
      </w:r>
      <w:r w:rsidRPr="006D0A9B">
        <w:rPr>
          <w:rFonts w:ascii="Segoe UI Light" w:hAnsi="Segoe UI Light" w:cs="Segoe UI Light"/>
          <w:sz w:val="22"/>
          <w:szCs w:val="22"/>
        </w:rPr>
        <w:t>.</w:t>
      </w:r>
    </w:p>
    <w:p w14:paraId="5A7FA9AC" w14:textId="19025A14" w:rsidR="00A075B1" w:rsidRPr="00185E6E" w:rsidRDefault="006D0A9B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6D0A9B">
        <w:rPr>
          <w:rFonts w:ascii="Segoe UI Light" w:hAnsi="Segoe UI Light" w:cs="Segoe UI Light"/>
          <w:sz w:val="22"/>
          <w:szCs w:val="22"/>
        </w:rPr>
        <w:t>Nieruchomość gruntowa</w:t>
      </w:r>
      <w:r>
        <w:rPr>
          <w:rFonts w:ascii="Segoe UI Light" w:hAnsi="Segoe UI Light" w:cs="Segoe UI Light"/>
          <w:sz w:val="22"/>
          <w:szCs w:val="22"/>
        </w:rPr>
        <w:t xml:space="preserve"> oznaczona jako działka nr 75</w:t>
      </w:r>
      <w:r w:rsidRPr="006D0A9B">
        <w:rPr>
          <w:rFonts w:ascii="Segoe UI Light" w:hAnsi="Segoe UI Light" w:cs="Segoe UI Light"/>
          <w:sz w:val="22"/>
          <w:szCs w:val="22"/>
        </w:rPr>
        <w:t xml:space="preserve"> objęta jest księgą wieczystą nr WA1I/00026068/2, nie jest obciążona  w dziale IV księgi wieczystej, natomiast w dziale III widnieje wpis służebności przesyłu ustanowionej na czas nieoznaczony na rzecz spółki pod firmą Polska </w:t>
      </w:r>
      <w:r w:rsidRPr="006D0A9B">
        <w:rPr>
          <w:rFonts w:ascii="Segoe UI Light" w:hAnsi="Segoe UI Light" w:cs="Segoe UI Light"/>
          <w:sz w:val="22"/>
          <w:szCs w:val="22"/>
        </w:rPr>
        <w:lastRenderedPageBreak/>
        <w:t>Spółka Gazownictwa spółka z ograniczoną odpowiedzialnością. wieczystej oraz nie toczy się  postępowanie administracyjne i sądowe dotyczące prawidłowości nabycia nieruchomości przez Gminę</w:t>
      </w:r>
      <w:r>
        <w:rPr>
          <w:rFonts w:ascii="Segoe UI Light" w:hAnsi="Segoe UI Light" w:cs="Segoe UI Light"/>
          <w:sz w:val="22"/>
          <w:szCs w:val="22"/>
        </w:rPr>
        <w:t>.</w:t>
      </w:r>
    </w:p>
    <w:p w14:paraId="63DFFDCC" w14:textId="5F045482" w:rsidR="00F42959" w:rsidRPr="007A0E99" w:rsidRDefault="000367D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ab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przetargu mogą wziąć udział osoby fizyczne i prawne. Przed otwarciem przetargu osoby przystępujące do przetargu zobowiązane są przedstawić Komisji Przetargowej następujące dokumenty: dowód wpłaty wadium; osoby fizyczne dokument tożsamości, reprezentujący osoby prawne – dokument tożsamości oraz oryginały lub poświadczone za zgodność z oryginałem: umowy spółki, aktualny odpis KRS i uchwałę odpowiedniego organu osoby prawnej zezwalającej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 nabycie nieruchomości; pełnomocnicy – dokument potwierdzający tożsamość i oryginał pełnomocnictwa upoważniającego do działania na każdym etapie postępowania przetargowego 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br/>
        <w:t>w przypadku przystąpienia do przetargu jednego z małżonków, konieczne jest przedłożenie pisemnej zgody współmałżonka.</w:t>
      </w:r>
    </w:p>
    <w:p w14:paraId="78E70FC8" w14:textId="7D8CA2B3" w:rsidR="00F4295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4" w:name="__DdeLink__65_360790682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Przetarg ważny jest bez względu na liczbę uczestników, jeżeli chociaż jeden uczestnik zaoferuje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 xml:space="preserve">co najmniej jedno postąpienie, o wysokości postąpienia decydują uczestnicy przetargu, z tym,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że postąpienie nie może wynosić mniej niż 1% ceny wywoławczej nieruchomości.</w:t>
      </w:r>
      <w:bookmarkEnd w:id="4"/>
    </w:p>
    <w:p w14:paraId="6F28D0B9" w14:textId="4490CEB1" w:rsidR="00412D58" w:rsidRDefault="00C92330" w:rsidP="00412D58">
      <w:pPr>
        <w:pStyle w:val="Tekstpodstawowy"/>
        <w:rPr>
          <w:rStyle w:val="Mocnowyrniony"/>
          <w:rFonts w:ascii="Segoe UI Light" w:hAnsi="Segoe UI Light" w:cs="Segoe UI Light"/>
          <w:highlight w:val="white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Przetarg  odbędzie się dnia </w:t>
      </w:r>
      <w:bookmarkStart w:id="5" w:name="_Hlk73528924"/>
      <w:r w:rsidR="004B3064">
        <w:rPr>
          <w:rStyle w:val="Mocnowyrniony"/>
          <w:rFonts w:ascii="Segoe UI Light" w:hAnsi="Segoe UI Light" w:cs="Segoe UI Light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highlight w:val="white"/>
        </w:rPr>
        <w:t>8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o godz. 1</w:t>
      </w:r>
      <w:r w:rsidR="00FB4B32" w:rsidRPr="007A0E99">
        <w:rPr>
          <w:rStyle w:val="Mocnowyrniony"/>
          <w:rFonts w:ascii="Segoe UI Light" w:hAnsi="Segoe UI Light" w:cs="Segoe UI Light"/>
          <w:highlight w:val="white"/>
        </w:rPr>
        <w:t>0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:00 </w:t>
      </w:r>
      <w:bookmarkEnd w:id="5"/>
      <w:r w:rsidRPr="007A0E99">
        <w:rPr>
          <w:rStyle w:val="Mocnowyrniony"/>
          <w:rFonts w:ascii="Segoe UI Light" w:hAnsi="Segoe UI Light" w:cs="Segoe UI Light"/>
          <w:highlight w:val="white"/>
        </w:rPr>
        <w:t>w Urzędzie Miasta i Gminy w Górze Kalwarii ul. 3-Maja 10, sala nr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1.11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(I piętro).</w:t>
      </w:r>
    </w:p>
    <w:p w14:paraId="2DCE56F4" w14:textId="4CC5FE80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Warunkiem przystąpienia do przetargu jest wpłacenie wadium w nieprzekraczalnym terminie </w:t>
      </w:r>
      <w:r w:rsidRPr="007A0E99">
        <w:rPr>
          <w:rStyle w:val="Mocnowyrniony"/>
          <w:rFonts w:ascii="Segoe UI Light" w:hAnsi="Segoe UI Light" w:cs="Segoe UI Light"/>
          <w:highlight w:val="white"/>
        </w:rPr>
        <w:br/>
      </w:r>
      <w:bookmarkStart w:id="6" w:name="_Hlk80599795"/>
      <w:r w:rsidRPr="007A0E99">
        <w:rPr>
          <w:rStyle w:val="Mocnowyrniony"/>
          <w:rFonts w:ascii="Segoe UI Light" w:hAnsi="Segoe UI Light" w:cs="Segoe UI Light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</w:t>
      </w:r>
      <w:bookmarkStart w:id="7" w:name="__DdeLink__4196_258089183"/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(data zaksięgowania na gminnym koncie)</w:t>
      </w:r>
      <w:bookmarkEnd w:id="7"/>
      <w:r w:rsidR="00FB4B32" w:rsidRPr="007A0E99">
        <w:rPr>
          <w:rStyle w:val="Mocnowyrniony"/>
          <w:rFonts w:ascii="Segoe UI Light" w:hAnsi="Segoe UI Light" w:cs="Segoe UI Light"/>
        </w:rPr>
        <w:t>.</w:t>
      </w:r>
      <w:bookmarkEnd w:id="6"/>
    </w:p>
    <w:p w14:paraId="5FEA8D0E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8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8"/>
    </w:p>
    <w:p w14:paraId="558F4077" w14:textId="6AD5360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terminie 21 dni od dnia rozstrzygnięcia przetargu o miejscu i terminie zawarcia umowy sprzedaży. Sprzedający nie odpowiada za ukryte wady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5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3CF29A89" w14:textId="6AD004F3" w:rsidR="000367D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46E09399" w14:textId="77B474B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Burmistrz Miasta i Gminy</w:t>
      </w:r>
    </w:p>
    <w:p w14:paraId="650547FA" w14:textId="4252382D" w:rsidR="00F42959" w:rsidRPr="00412D58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="0065619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6A7221B" w14:textId="33603C85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 w:rsidR="00412D5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0367D9">
        <w:rPr>
          <w:rFonts w:ascii="Segoe UI Light" w:hAnsi="Segoe UI Light" w:cs="Segoe UI Light"/>
          <w:i/>
          <w:iCs/>
          <w:sz w:val="22"/>
          <w:szCs w:val="22"/>
        </w:rPr>
        <w:t>Arkadiusz Strzyżewski</w:t>
      </w:r>
    </w:p>
    <w:sectPr w:rsidR="00F42959" w:rsidRPr="007A0E99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1602E"/>
    <w:rsid w:val="000367D9"/>
    <w:rsid w:val="0005797F"/>
    <w:rsid w:val="00064479"/>
    <w:rsid w:val="000E7D0D"/>
    <w:rsid w:val="00102A30"/>
    <w:rsid w:val="001148CD"/>
    <w:rsid w:val="001169B4"/>
    <w:rsid w:val="00133B33"/>
    <w:rsid w:val="00147C99"/>
    <w:rsid w:val="001664F4"/>
    <w:rsid w:val="00185E6E"/>
    <w:rsid w:val="001A7CF8"/>
    <w:rsid w:val="001E21D7"/>
    <w:rsid w:val="00203ADB"/>
    <w:rsid w:val="002916D8"/>
    <w:rsid w:val="002D35F6"/>
    <w:rsid w:val="00300C66"/>
    <w:rsid w:val="003807FC"/>
    <w:rsid w:val="003D6357"/>
    <w:rsid w:val="00410C7B"/>
    <w:rsid w:val="00412D58"/>
    <w:rsid w:val="00424C22"/>
    <w:rsid w:val="00425CD4"/>
    <w:rsid w:val="004466A3"/>
    <w:rsid w:val="00467917"/>
    <w:rsid w:val="004B3064"/>
    <w:rsid w:val="004B7692"/>
    <w:rsid w:val="00532B92"/>
    <w:rsid w:val="00637615"/>
    <w:rsid w:val="0064235B"/>
    <w:rsid w:val="00656198"/>
    <w:rsid w:val="006739AA"/>
    <w:rsid w:val="00687EC0"/>
    <w:rsid w:val="006940FC"/>
    <w:rsid w:val="006A4838"/>
    <w:rsid w:val="006D0A9B"/>
    <w:rsid w:val="006F3010"/>
    <w:rsid w:val="00721D99"/>
    <w:rsid w:val="00723282"/>
    <w:rsid w:val="007802DC"/>
    <w:rsid w:val="007A0E99"/>
    <w:rsid w:val="00814564"/>
    <w:rsid w:val="008840B4"/>
    <w:rsid w:val="008B52F7"/>
    <w:rsid w:val="0092236A"/>
    <w:rsid w:val="00927198"/>
    <w:rsid w:val="009C3050"/>
    <w:rsid w:val="00A075B1"/>
    <w:rsid w:val="00A369D8"/>
    <w:rsid w:val="00A46211"/>
    <w:rsid w:val="00A47B69"/>
    <w:rsid w:val="00AE1E3E"/>
    <w:rsid w:val="00B01BD5"/>
    <w:rsid w:val="00B50767"/>
    <w:rsid w:val="00B96AA2"/>
    <w:rsid w:val="00BA6111"/>
    <w:rsid w:val="00BD1D6B"/>
    <w:rsid w:val="00C92330"/>
    <w:rsid w:val="00CA0028"/>
    <w:rsid w:val="00D13950"/>
    <w:rsid w:val="00D51A2F"/>
    <w:rsid w:val="00D72AAF"/>
    <w:rsid w:val="00D7458E"/>
    <w:rsid w:val="00DF0B16"/>
    <w:rsid w:val="00E00C88"/>
    <w:rsid w:val="00E27B8D"/>
    <w:rsid w:val="00E6717F"/>
    <w:rsid w:val="00E84E86"/>
    <w:rsid w:val="00E90527"/>
    <w:rsid w:val="00E9353E"/>
    <w:rsid w:val="00F05623"/>
    <w:rsid w:val="00F13B0B"/>
    <w:rsid w:val="00F42959"/>
    <w:rsid w:val="00F62124"/>
    <w:rsid w:val="00F96E8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orakalwari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Ilona Makuch</cp:lastModifiedBy>
  <cp:revision>14</cp:revision>
  <cp:lastPrinted>2021-06-07T06:44:00Z</cp:lastPrinted>
  <dcterms:created xsi:type="dcterms:W3CDTF">2023-08-22T06:30:00Z</dcterms:created>
  <dcterms:modified xsi:type="dcterms:W3CDTF">2023-08-23T07:57:00Z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