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4F9C" w14:textId="7DA23FA4" w:rsidR="00C96D8F" w:rsidRDefault="00887B24" w:rsidP="00887B24">
      <w:pPr>
        <w:jc w:val="center"/>
        <w:rPr>
          <w:b/>
          <w:bCs/>
          <w:sz w:val="28"/>
          <w:szCs w:val="28"/>
        </w:rPr>
      </w:pPr>
      <w:r w:rsidRPr="00887B24">
        <w:rPr>
          <w:b/>
          <w:bCs/>
          <w:sz w:val="28"/>
          <w:szCs w:val="28"/>
        </w:rPr>
        <w:t>Uzasadnienie</w:t>
      </w:r>
    </w:p>
    <w:p w14:paraId="5C8CF6F6" w14:textId="35AA6479" w:rsidR="00887B24" w:rsidRPr="00887B24" w:rsidRDefault="00887B24" w:rsidP="00887B24">
      <w:pPr>
        <w:ind w:firstLine="708"/>
        <w:jc w:val="both"/>
        <w:rPr>
          <w:sz w:val="24"/>
          <w:szCs w:val="24"/>
        </w:rPr>
      </w:pPr>
      <w:r w:rsidRPr="00887B24">
        <w:rPr>
          <w:sz w:val="24"/>
          <w:szCs w:val="24"/>
        </w:rPr>
        <w:t>Zgodnie z art.37 ust.1 ustawy o finansach publicznych: Zarząd jednostki samorządu terytorialnego podaje do publicznej wiadomości w terminie: do końca miesiąca następującego po zakończeniu kwartału – kwartalną informację o wykonaniu budżetu jednostki samorządu terytorialnego, w tym kwotę deficytu albo nadwyżki, oraz o udzielonych umorzeniach niepodatkowych należności budżetowych, o których mowa w art.6 ustawy o finansach publicznych niepodatkowe należności budżetowe o charakterze publicznoprawnym.</w:t>
      </w:r>
    </w:p>
    <w:sectPr w:rsidR="00887B24" w:rsidRPr="0088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C7"/>
    <w:rsid w:val="00346BC7"/>
    <w:rsid w:val="00887B24"/>
    <w:rsid w:val="00C9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4AE6"/>
  <w15:chartTrackingRefBased/>
  <w15:docId w15:val="{C4BBAB38-B23B-4A1D-9E9F-CC2F3252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2</cp:revision>
  <dcterms:created xsi:type="dcterms:W3CDTF">2023-10-30T10:38:00Z</dcterms:created>
  <dcterms:modified xsi:type="dcterms:W3CDTF">2023-10-30T10:48:00Z</dcterms:modified>
</cp:coreProperties>
</file>