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BAAA" w14:textId="77777777" w:rsidR="008019FE" w:rsidRPr="004B5000" w:rsidRDefault="008019FE" w:rsidP="008019FE">
      <w:pPr>
        <w:rPr>
          <w:rFonts w:ascii="Times New Roman" w:hAnsi="Times New Roman" w:cs="Times New Roman"/>
        </w:rPr>
      </w:pPr>
      <w:r w:rsidRPr="004B5000">
        <w:rPr>
          <w:rFonts w:ascii="Times New Roman" w:hAnsi="Times New Roman" w:cs="Times New Roman"/>
        </w:rPr>
        <w:t>Załącznik</w:t>
      </w:r>
    </w:p>
    <w:p w14:paraId="74D5E525" w14:textId="4B946ED8" w:rsidR="008019FE" w:rsidRPr="004B5000" w:rsidRDefault="008019FE" w:rsidP="008019FE">
      <w:pPr>
        <w:rPr>
          <w:rFonts w:ascii="Times New Roman" w:hAnsi="Times New Roman" w:cs="Times New Roman"/>
        </w:rPr>
      </w:pPr>
      <w:r w:rsidRPr="004B5000">
        <w:rPr>
          <w:rFonts w:ascii="Times New Roman" w:hAnsi="Times New Roman" w:cs="Times New Roman"/>
        </w:rPr>
        <w:t>Do decyzji ROŚ.</w:t>
      </w:r>
      <w:r w:rsidR="00773F79">
        <w:rPr>
          <w:rFonts w:ascii="Times New Roman" w:hAnsi="Times New Roman" w:cs="Times New Roman"/>
        </w:rPr>
        <w:t>60.42.2016.2021</w:t>
      </w:r>
    </w:p>
    <w:p w14:paraId="30C84BA9" w14:textId="3944F957" w:rsidR="008019FE" w:rsidRPr="004B5000" w:rsidRDefault="008019FE" w:rsidP="008019FE">
      <w:pPr>
        <w:rPr>
          <w:rFonts w:ascii="Times New Roman" w:hAnsi="Times New Roman" w:cs="Times New Roman"/>
        </w:rPr>
      </w:pPr>
      <w:r w:rsidRPr="004B5000">
        <w:rPr>
          <w:rFonts w:ascii="Times New Roman" w:hAnsi="Times New Roman" w:cs="Times New Roman"/>
        </w:rPr>
        <w:t xml:space="preserve">z dnia </w:t>
      </w:r>
      <w:r w:rsidR="00773F79">
        <w:rPr>
          <w:rFonts w:ascii="Times New Roman" w:hAnsi="Times New Roman" w:cs="Times New Roman"/>
        </w:rPr>
        <w:t>1</w:t>
      </w:r>
      <w:r w:rsidR="003B367F">
        <w:rPr>
          <w:rFonts w:ascii="Times New Roman" w:hAnsi="Times New Roman" w:cs="Times New Roman"/>
        </w:rPr>
        <w:t>3</w:t>
      </w:r>
      <w:r w:rsidRPr="004B5000">
        <w:rPr>
          <w:rFonts w:ascii="Times New Roman" w:hAnsi="Times New Roman" w:cs="Times New Roman"/>
        </w:rPr>
        <w:t>.1</w:t>
      </w:r>
      <w:r w:rsidR="00773F79">
        <w:rPr>
          <w:rFonts w:ascii="Times New Roman" w:hAnsi="Times New Roman" w:cs="Times New Roman"/>
        </w:rPr>
        <w:t>2</w:t>
      </w:r>
      <w:r w:rsidRPr="004B5000">
        <w:rPr>
          <w:rFonts w:ascii="Times New Roman" w:hAnsi="Times New Roman" w:cs="Times New Roman"/>
        </w:rPr>
        <w:t>.2021 r.</w:t>
      </w:r>
    </w:p>
    <w:p w14:paraId="0F0B5E60" w14:textId="77777777" w:rsidR="008019FE" w:rsidRPr="004B5000" w:rsidRDefault="008019FE" w:rsidP="008019FE">
      <w:pPr>
        <w:rPr>
          <w:rFonts w:ascii="Times New Roman" w:hAnsi="Times New Roman" w:cs="Times New Roman"/>
        </w:rPr>
      </w:pPr>
      <w:r w:rsidRPr="004B5000">
        <w:rPr>
          <w:rFonts w:ascii="Times New Roman" w:hAnsi="Times New Roman" w:cs="Times New Roman"/>
        </w:rPr>
        <w:tab/>
      </w:r>
      <w:r w:rsidRPr="004B5000">
        <w:rPr>
          <w:rFonts w:ascii="Times New Roman" w:hAnsi="Times New Roman" w:cs="Times New Roman"/>
        </w:rPr>
        <w:tab/>
      </w:r>
      <w:r w:rsidRPr="004B5000">
        <w:rPr>
          <w:rFonts w:ascii="Times New Roman" w:hAnsi="Times New Roman" w:cs="Times New Roman"/>
        </w:rPr>
        <w:tab/>
      </w:r>
    </w:p>
    <w:p w14:paraId="42304365" w14:textId="77777777" w:rsidR="008019FE" w:rsidRPr="004B5000" w:rsidRDefault="008019FE" w:rsidP="008019FE">
      <w:pPr>
        <w:rPr>
          <w:rFonts w:ascii="Times New Roman" w:hAnsi="Times New Roman" w:cs="Times New Roman"/>
        </w:rPr>
      </w:pPr>
      <w:r w:rsidRPr="004B5000">
        <w:rPr>
          <w:rFonts w:ascii="Times New Roman" w:hAnsi="Times New Roman" w:cs="Times New Roman"/>
        </w:rPr>
        <w:tab/>
      </w:r>
      <w:r w:rsidRPr="004B5000">
        <w:rPr>
          <w:rFonts w:ascii="Times New Roman" w:hAnsi="Times New Roman" w:cs="Times New Roman"/>
        </w:rPr>
        <w:tab/>
      </w:r>
      <w:r w:rsidRPr="004B5000">
        <w:rPr>
          <w:rFonts w:ascii="Times New Roman" w:hAnsi="Times New Roman" w:cs="Times New Roman"/>
        </w:rPr>
        <w:tab/>
        <w:t xml:space="preserve">    </w:t>
      </w:r>
      <w:r w:rsidRPr="004B5000">
        <w:rPr>
          <w:rFonts w:ascii="Times New Roman" w:hAnsi="Times New Roman" w:cs="Times New Roman"/>
          <w:b/>
        </w:rPr>
        <w:t xml:space="preserve">CHARAKTERYSTYKA PRZEDSIĘWZIĘCIA </w:t>
      </w:r>
    </w:p>
    <w:p w14:paraId="50964E36" w14:textId="6FA231B3" w:rsidR="008019FE" w:rsidRPr="0078029A" w:rsidRDefault="008019FE" w:rsidP="008368B8">
      <w:pPr>
        <w:spacing w:after="0"/>
        <w:jc w:val="both"/>
        <w:rPr>
          <w:rFonts w:ascii="Times New Roman" w:hAnsi="Times New Roman" w:cs="Times New Roman"/>
        </w:rPr>
      </w:pPr>
      <w:r w:rsidRPr="0078029A">
        <w:rPr>
          <w:rFonts w:ascii="Times New Roman" w:hAnsi="Times New Roman" w:cs="Times New Roman"/>
        </w:rPr>
        <w:t>Zgodnie z art. 82 ust. 3 ustawy o udostepnieniu informacji o środowisku i jego ochronie, udziale społeczeństwa w ochronie środowiska oraz ocenach oddziaływania na środowisko (Dz.U. 2021r., poz.247 ze zmianami)</w:t>
      </w:r>
    </w:p>
    <w:p w14:paraId="2EB8C704" w14:textId="77777777" w:rsidR="008368B8" w:rsidRDefault="008368B8" w:rsidP="00487BF6">
      <w:pPr>
        <w:jc w:val="both"/>
        <w:rPr>
          <w:rFonts w:ascii="Times New Roman" w:hAnsi="Times New Roman" w:cs="Times New Roman"/>
          <w:u w:val="single"/>
        </w:rPr>
      </w:pPr>
    </w:p>
    <w:p w14:paraId="31434343" w14:textId="11596D0A" w:rsidR="008019FE" w:rsidRPr="0078029A" w:rsidRDefault="008019FE" w:rsidP="00487BF6">
      <w:pPr>
        <w:jc w:val="both"/>
        <w:rPr>
          <w:rFonts w:ascii="Times New Roman" w:hAnsi="Times New Roman" w:cs="Times New Roman"/>
          <w:u w:val="single"/>
        </w:rPr>
      </w:pPr>
      <w:r w:rsidRPr="0078029A">
        <w:rPr>
          <w:rFonts w:ascii="Times New Roman" w:hAnsi="Times New Roman" w:cs="Times New Roman"/>
          <w:u w:val="single"/>
        </w:rPr>
        <w:t>Rodzaj, skala i usytuwanie przedsięwzięcia</w:t>
      </w:r>
    </w:p>
    <w:p w14:paraId="7C782C6A" w14:textId="1142B95E" w:rsidR="008019FE" w:rsidRPr="0078029A" w:rsidRDefault="008019FE" w:rsidP="00487BF6">
      <w:pPr>
        <w:spacing w:after="0"/>
        <w:jc w:val="both"/>
        <w:rPr>
          <w:rFonts w:ascii="Times New Roman" w:hAnsi="Times New Roman" w:cs="Times New Roman"/>
        </w:rPr>
      </w:pPr>
      <w:r w:rsidRPr="0078029A">
        <w:rPr>
          <w:rFonts w:ascii="Times New Roman" w:hAnsi="Times New Roman" w:cs="Times New Roman"/>
        </w:rPr>
        <w:t xml:space="preserve">Planowane przedsięwziecie </w:t>
      </w:r>
      <w:r w:rsidR="00D30F60" w:rsidRPr="0078029A">
        <w:rPr>
          <w:rFonts w:ascii="Times New Roman" w:hAnsi="Times New Roman" w:cs="Times New Roman"/>
        </w:rPr>
        <w:t>polegać będzie na budowie biogazowni</w:t>
      </w:r>
      <w:r w:rsidR="00B42D63" w:rsidRPr="0078029A">
        <w:rPr>
          <w:rFonts w:ascii="Times New Roman" w:hAnsi="Times New Roman" w:cs="Times New Roman"/>
        </w:rPr>
        <w:t xml:space="preserve"> rolniczej wraz z infrastrukturą techniczną i towarzyszącą w miejscowości Rusibórz </w:t>
      </w:r>
      <w:r w:rsidR="0025092E" w:rsidRPr="0078029A">
        <w:rPr>
          <w:rFonts w:ascii="Times New Roman" w:hAnsi="Times New Roman" w:cs="Times New Roman"/>
        </w:rPr>
        <w:t>na działce nr ew. 70/1, obręb geodezyjny Rusibórz, gmina Dominowo.</w:t>
      </w:r>
      <w:r w:rsidR="00D30F60" w:rsidRPr="0078029A">
        <w:rPr>
          <w:rFonts w:ascii="Times New Roman" w:hAnsi="Times New Roman" w:cs="Times New Roman"/>
        </w:rPr>
        <w:t xml:space="preserve"> </w:t>
      </w:r>
      <w:r w:rsidR="007671D1" w:rsidRPr="0078029A">
        <w:rPr>
          <w:rFonts w:ascii="Times New Roman" w:hAnsi="Times New Roman" w:cs="Times New Roman"/>
        </w:rPr>
        <w:t xml:space="preserve"> </w:t>
      </w:r>
    </w:p>
    <w:p w14:paraId="73CCFFEE" w14:textId="77777777" w:rsidR="0025092E" w:rsidRPr="0025092E" w:rsidRDefault="0025092E" w:rsidP="00487BF6">
      <w:pPr>
        <w:spacing w:after="4"/>
        <w:ind w:left="10"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Planowana biogazownia rolnicza będzie miała moc do 1,8 MW. W projektowanym obiekcie będzie zainstalowany układ kogeneracyjny energii elektrycznej o mocy do 1 MW i termicznej o mocy użytkowej do 1 ,86 MW. Na terenie przedsięwzięcia powstaną następujące obiekty, których parametry stanowią przedmiot zmiany decyzji:</w:t>
      </w:r>
    </w:p>
    <w:p w14:paraId="5F72D3D7" w14:textId="7666C59B" w:rsidR="00A032DE" w:rsidRPr="0078029A" w:rsidRDefault="00A032DE" w:rsidP="00487BF6">
      <w:pPr>
        <w:spacing w:after="71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-</w:t>
      </w:r>
      <w:r w:rsidR="0025092E"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zbiornik fermentacyjny o pojemności ok. 11 000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3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 powierzchni ok. 1 400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, </w:t>
      </w:r>
    </w:p>
    <w:p w14:paraId="4F5849D6" w14:textId="25F675B8" w:rsidR="00A032DE" w:rsidRPr="0078029A" w:rsidRDefault="00A032DE" w:rsidP="00487BF6">
      <w:pPr>
        <w:spacing w:after="71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hAnsi="Times New Roman" w:cs="Times New Roman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zbiornik pofermentacyjny o pojemności ok. 9 100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3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 powierzchni ok. 950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>2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, </w:t>
      </w:r>
    </w:p>
    <w:p w14:paraId="1A835456" w14:textId="58CBEA44" w:rsidR="0025092E" w:rsidRPr="0025092E" w:rsidRDefault="00A032DE" w:rsidP="00487BF6">
      <w:pPr>
        <w:spacing w:after="71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pomieszczenie pompowni o powierzchni ok. 290 m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>2</w:t>
      </w: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3DC31A5" w14:textId="77777777" w:rsidR="00A032DE" w:rsidRPr="0078029A" w:rsidRDefault="0025092E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- </w:t>
      </w:r>
      <w:r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2 zbiorniki wstępne o powierzchni ok. 135 m</w:t>
      </w:r>
      <w:r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 pojemności ok. 500 m</w:t>
      </w:r>
      <w:r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3 </w:t>
      </w:r>
      <w:r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każdy, </w:t>
      </w:r>
    </w:p>
    <w:p w14:paraId="4D452ACD" w14:textId="406A6ADC" w:rsidR="00A032DE" w:rsidRPr="0078029A" w:rsidRDefault="00A032DE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stacja kogeneracyjna o powierzchni ok. 100 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>2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,</w:t>
      </w:r>
      <w:r w:rsidRPr="0078029A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 </w:t>
      </w:r>
    </w:p>
    <w:p w14:paraId="7328A9AC" w14:textId="77777777" w:rsidR="00A032DE" w:rsidRPr="0078029A" w:rsidRDefault="0025092E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a także pozostałe, ujęte w obowiązującej decyzji i niepoddawane zmianie: </w:t>
      </w:r>
    </w:p>
    <w:p w14:paraId="76F7E3D8" w14:textId="36EFE274" w:rsidR="00A032DE" w:rsidRPr="0078029A" w:rsidRDefault="00A032DE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E064B8"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laguna o powierzchni ok. 1 555 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 pojemności ok. 4 500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3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, </w:t>
      </w:r>
    </w:p>
    <w:p w14:paraId="04726C14" w14:textId="11319A0F" w:rsidR="00E064B8" w:rsidRPr="0078029A" w:rsidRDefault="00A032DE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E064B8"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ślimakowy wyciągacz piasku, </w:t>
      </w:r>
    </w:p>
    <w:p w14:paraId="7444F6FD" w14:textId="4D56B81E" w:rsidR="00E064B8" w:rsidRPr="0078029A" w:rsidRDefault="00E064B8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dwa kontenery podawcze 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podajniki wsadu biomasy o powierzchni ok. 50 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 28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>2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,</w:t>
      </w:r>
    </w:p>
    <w:p w14:paraId="08EDA5ED" w14:textId="77777777" w:rsidR="00E064B8" w:rsidRPr="0078029A" w:rsidRDefault="00E064B8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dwie stacje dokujące dwukierunkowe (stanowisko rozładunku i załadunku substratów płynnych), </w:t>
      </w:r>
    </w:p>
    <w:p w14:paraId="07489EC0" w14:textId="77777777" w:rsidR="00E064B8" w:rsidRPr="0078029A" w:rsidRDefault="00E064B8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hala tzw. wanna na kiszonki o powierzchni ok. 1 210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, </w:t>
      </w:r>
    </w:p>
    <w:p w14:paraId="708F316F" w14:textId="66B92A6D" w:rsidR="00E064B8" w:rsidRPr="0078029A" w:rsidRDefault="00E064B8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hala segregacji produktów o powierzchni ok. 990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, </w:t>
      </w:r>
    </w:p>
    <w:p w14:paraId="242F5736" w14:textId="77777777" w:rsidR="00E064B8" w:rsidRPr="0078029A" w:rsidRDefault="00E064B8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zbiornik magazynowy gnojowicy, </w:t>
      </w:r>
    </w:p>
    <w:p w14:paraId="3B4718EC" w14:textId="095D98BC" w:rsidR="0025092E" w:rsidRPr="0025092E" w:rsidRDefault="00E064B8" w:rsidP="00487BF6">
      <w:pPr>
        <w:spacing w:after="4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 kontener na odpady stałe o powierzchni ok. 7 </w:t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 xml:space="preserve">2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,</w:t>
      </w:r>
    </w:p>
    <w:p w14:paraId="3193D99F" w14:textId="00EC641D" w:rsidR="0025092E" w:rsidRPr="0025092E" w:rsidRDefault="00E064B8" w:rsidP="00487BF6">
      <w:pPr>
        <w:spacing w:after="43"/>
        <w:ind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- 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stacja transformatorowa o powierzchni ok. 13 m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vertAlign w:val="superscript"/>
          <w:lang w:eastAsia="pl-PL"/>
        </w:rPr>
        <w:t>2</w:t>
      </w:r>
      <w:r w:rsidR="0025092E"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.</w:t>
      </w:r>
    </w:p>
    <w:p w14:paraId="101071F8" w14:textId="5CD5F168" w:rsidR="0025092E" w:rsidRPr="0025092E" w:rsidRDefault="0025092E" w:rsidP="00487BF6">
      <w:pPr>
        <w:spacing w:after="0"/>
        <w:ind w:left="76" w:right="52" w:firstLine="14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25092E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Intencją Wnioskodawcy jest zmiana posiadanej decyzji w zakresie rozszerzenia listy substratów dopuszczonych do wykorzystania w instalacji bez zmiany tonażu substratów wykorzystanych w ujęciu rocznym, a także zmiany w zakresie parametrów instalacji. Ponadto Wnioskodawca wskazał na rezygnację z awaryjnej pochodni gazowej na rzecz wprowadzenia dwóch kotłów przeznaczonych do spalania biogazu z kotłem odzysknicowym. Wnioskodawca wskazał także w zakresie zmiany, że zbiornik fermentacyjny wykonany będzie jako żelbetowy, posadowiony w ziemi ze stropem żelbetowym lub zamknięty elastyczną folią techniczną, a jego wysokość wyniesie do ok. 14 m n.p.t.</w:t>
      </w:r>
    </w:p>
    <w:p w14:paraId="2D828EE7" w14:textId="241A1206" w:rsidR="000209B9" w:rsidRPr="0078029A" w:rsidRDefault="000209B9" w:rsidP="00487BF6">
      <w:pPr>
        <w:spacing w:after="0"/>
        <w:ind w:left="76"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0209B9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 xml:space="preserve">Wnioskodawca wyjaśnił, iż zmiany parametrów instalacji m.in. zmiana pojemności zbiornika fermentacyjnego i pofermentacyjnego wynikają ze zmian układzie technologicznym i rozkładzie </w:t>
      </w:r>
      <w:r w:rsidRPr="000209B9">
        <w:rPr>
          <w:rFonts w:ascii="Times New Roman" w:eastAsia="Times New Roman" w:hAnsi="Times New Roman" w:cs="Times New Roman"/>
          <w:color w:val="000000"/>
          <w:lang w:eastAsia="pl-PL"/>
        </w:rPr>
        <w:drawing>
          <wp:inline distT="0" distB="0" distL="0" distR="0" wp14:anchorId="22BBDA10" wp14:editId="1BA967D7">
            <wp:extent cx="6097" cy="12193"/>
            <wp:effectExtent l="0" t="0" r="0" b="0"/>
            <wp:docPr id="13794" name="Picture 13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" name="Picture 137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9B9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lastRenderedPageBreak/>
        <w:t>poszczególnych elementów technologii. Zmiany te mają usprawnić prowadzenie procesu technologicznego.</w:t>
      </w:r>
    </w:p>
    <w:p w14:paraId="13D8C2E6" w14:textId="77777777" w:rsidR="00D6018C" w:rsidRPr="00D6018C" w:rsidRDefault="00D6018C" w:rsidP="00487BF6">
      <w:pPr>
        <w:spacing w:after="4"/>
        <w:ind w:left="76"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D6018C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W związku z realizacją inwestycji w planowanej biogazowni wykorzystywane będą substraty roślinne oraz zwierzęce, w tym odpady inne niż niebezpieczne o kodach: 02 01 01 , 02 01 02, 02 01 03, 02 01 06, Ex 02 01 99, 02 02 01, 02 02 02, 02 02 03, Br 02 02 04, 02 03</w:t>
      </w:r>
    </w:p>
    <w:p w14:paraId="173233A8" w14:textId="215320EC" w:rsidR="00D6018C" w:rsidRPr="0078029A" w:rsidRDefault="00D6018C" w:rsidP="00487BF6">
      <w:pPr>
        <w:spacing w:after="0"/>
        <w:ind w:left="76" w:right="52"/>
        <w:jc w:val="both"/>
        <w:rPr>
          <w:rFonts w:ascii="Times New Roman" w:eastAsia="Times New Roman" w:hAnsi="Times New Roman" w:cs="Times New Roman"/>
          <w:noProof w:val="0"/>
          <w:color w:val="000000"/>
          <w:lang w:eastAsia="pl-PL"/>
        </w:rPr>
      </w:pPr>
      <w:r w:rsidRPr="0078029A">
        <w:rPr>
          <w:rFonts w:ascii="Times New Roman" w:eastAsia="Times New Roman" w:hAnsi="Times New Roman" w:cs="Times New Roman"/>
          <w:color w:val="000000"/>
          <w:lang w:eastAsia="pl-PL"/>
        </w:rPr>
        <w:drawing>
          <wp:anchor distT="0" distB="0" distL="114300" distR="114300" simplePos="0" relativeHeight="251662336" behindDoc="0" locked="0" layoutInCell="1" allowOverlap="0" wp14:anchorId="5991EC52" wp14:editId="4E23FB5A">
            <wp:simplePos x="0" y="0"/>
            <wp:positionH relativeFrom="page">
              <wp:posOffset>6791401</wp:posOffset>
            </wp:positionH>
            <wp:positionV relativeFrom="page">
              <wp:posOffset>3465741</wp:posOffset>
            </wp:positionV>
            <wp:extent cx="12193" cy="9144"/>
            <wp:effectExtent l="0" t="0" r="0" b="0"/>
            <wp:wrapSquare wrapText="bothSides"/>
            <wp:docPr id="1" name="Picture 13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" name="Picture 137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029A">
        <w:rPr>
          <w:rFonts w:ascii="Times New Roman" w:eastAsia="Times New Roman" w:hAnsi="Times New Roman" w:cs="Times New Roman"/>
          <w:noProof w:val="0"/>
          <w:color w:val="000000"/>
          <w:lang w:eastAsia="pl-PL"/>
        </w:rPr>
        <w:t>01, 02 03 03, 02 03 04, Br 02 03 05, 02 03 80, 02 03 81, 02 03 82, 02 03 99, 02 05 01, Br 02 05 02, 02 06 Ol, 02 06 80, Ex 02 06 99 w maksymalnej łącznej ilości 38 106 Mg/rok.</w:t>
      </w:r>
    </w:p>
    <w:p w14:paraId="41FAC4E1" w14:textId="6C566D13" w:rsidR="00D6018C" w:rsidRDefault="00D6018C" w:rsidP="00487BF6">
      <w:pPr>
        <w:spacing w:after="0"/>
        <w:ind w:left="76" w:right="52"/>
        <w:jc w:val="both"/>
        <w:rPr>
          <w:rFonts w:ascii="Times New Roman" w:hAnsi="Times New Roman" w:cs="Times New Roman"/>
        </w:rPr>
      </w:pPr>
      <w:r w:rsidRPr="0078029A">
        <w:rPr>
          <w:rFonts w:ascii="Times New Roman" w:hAnsi="Times New Roman" w:cs="Times New Roman"/>
        </w:rPr>
        <w:t>W zakresie emisji do powietrza na etapie eksploatacji, w stosunku do wydanej decyzji o środowiskowych uwarunkowaniach przedsięwzięcia, następuje zamiana jednego ze źródeł emisji — awaryjnej pochodni gazowej na kotły parowe. Zmiana ta została uwzględniona w przedstawionej analizie rozprzestrzeniania zanieczyszczeń. Zorganizowanym źródłem emisji zanieczyszczeń do powietrza na terenie przedsięwzięcia będzie głównie spalanie biogazu w jednostce kogeneracyjnej o mocy do 1,8 MW energii elektrycznej i termicznej o mocy użytkowej do 1,86 MW.</w:t>
      </w:r>
    </w:p>
    <w:p w14:paraId="1ECEC883" w14:textId="77777777" w:rsidR="00F73169" w:rsidRDefault="0078029A" w:rsidP="00487BF6">
      <w:pPr>
        <w:spacing w:after="0"/>
        <w:ind w:left="76" w:right="52"/>
        <w:jc w:val="both"/>
      </w:pPr>
      <w:r w:rsidRPr="0078029A">
        <w:rPr>
          <w:rFonts w:ascii="Times New Roman" w:hAnsi="Times New Roman" w:cs="Times New Roman"/>
        </w:rPr>
        <w:t xml:space="preserve">W instalacji zaplanowano 3 silniki kogeneracyjne o mocy elektrycznej ok. 0,6 MW każdy. </w:t>
      </w:r>
      <w:r w:rsidRPr="0078029A">
        <w:rPr>
          <w:rFonts w:ascii="Times New Roman" w:hAnsi="Times New Roman" w:cs="Times New Roman"/>
        </w:rPr>
        <w:drawing>
          <wp:inline distT="0" distB="0" distL="0" distR="0" wp14:anchorId="526789BE" wp14:editId="691C195C">
            <wp:extent cx="15242" cy="42674"/>
            <wp:effectExtent l="0" t="0" r="0" b="0"/>
            <wp:docPr id="44269" name="Picture 44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9" name="Picture 442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029A">
        <w:rPr>
          <w:rFonts w:ascii="Times New Roman" w:hAnsi="Times New Roman" w:cs="Times New Roman"/>
        </w:rPr>
        <w:t>Instalacja wyposażona będzie także w dwa awaryjne kotły parowe o mocy 600 kW i 400 kW.</w:t>
      </w:r>
      <w:r w:rsidR="00F73169" w:rsidRPr="00F73169">
        <w:t xml:space="preserve"> </w:t>
      </w:r>
    </w:p>
    <w:p w14:paraId="1C4C2E18" w14:textId="77777777" w:rsidR="00F960C7" w:rsidRDefault="00F73169" w:rsidP="00487BF6">
      <w:pPr>
        <w:spacing w:after="0"/>
        <w:ind w:left="76" w:right="52"/>
        <w:jc w:val="both"/>
        <w:rPr>
          <w:rFonts w:ascii="Times New Roman" w:hAnsi="Times New Roman" w:cs="Times New Roman"/>
        </w:rPr>
      </w:pPr>
      <w:r w:rsidRPr="00F73169">
        <w:rPr>
          <w:rFonts w:ascii="Times New Roman" w:hAnsi="Times New Roman" w:cs="Times New Roman"/>
        </w:rPr>
        <w:t>Głównymi źródłami emisji hałasu do środowiska z przedmiotowej inwestycji będą: kontener kogeneracyjny, wentylatory umieszczone w halach na kiszonki i segregację produktów, silniki mieszadła oraz awaryjne chłodnice wentylatorów. Ponadto, źródłem hałasu będzie ruch pojazdów po terenie inwestycji wynoszący w ciągu doby 10 pojazdów ciężkich i 4 pojazdy lekkie.</w:t>
      </w:r>
    </w:p>
    <w:p w14:paraId="64731EA0" w14:textId="71B095CC" w:rsidR="00F960C7" w:rsidRDefault="00F960C7" w:rsidP="00487BF6">
      <w:pPr>
        <w:spacing w:after="0"/>
        <w:ind w:left="76" w:right="52"/>
        <w:jc w:val="both"/>
      </w:pPr>
      <w:r w:rsidRPr="00F960C7">
        <w:rPr>
          <w:rFonts w:ascii="Times New Roman" w:hAnsi="Times New Roman" w:cs="Times New Roman"/>
        </w:rPr>
        <w:t>Najbliższe tereny wymagające ochrony akustycznej, w myśl rozporządzenia Ministra Środowiska z dnia 14 czerwca 2007 r. w sprawie dopuszczalnych poziomów hałasu w środowisku (Dz.</w:t>
      </w:r>
      <w:r w:rsidR="00487BF6">
        <w:rPr>
          <w:rFonts w:ascii="Times New Roman" w:hAnsi="Times New Roman" w:cs="Times New Roman"/>
        </w:rPr>
        <w:t xml:space="preserve"> </w:t>
      </w:r>
      <w:r w:rsidRPr="00F960C7">
        <w:rPr>
          <w:rFonts w:ascii="Times New Roman" w:hAnsi="Times New Roman" w:cs="Times New Roman"/>
        </w:rPr>
        <w:t>U. z 2014 r., poz. 1 12), znajdują się w odległości ok. 273 m na południe i jak wskazano w raporcie stanowią zabudowę zagrodową. Dopuszczalne poziomy hałasu dla zabudowy zagrodowej, zgodnie z ww. rozporządzeniem w sprawie dopuszczalnych poziomów hałasu w środowisku wynoszą 55 dB w porze dnia i 45 dB w porze nocy. W założeniach do analizy akustycznej uwzględniono wykonanie określonej ilości urządzeń o określonych parametrach akustycznych oraz ograniczenie ruchu pojazdów ciężkich wyłącznie do pory dziennej.</w:t>
      </w:r>
      <w:r w:rsidRPr="00F960C7">
        <w:t xml:space="preserve"> </w:t>
      </w:r>
    </w:p>
    <w:p w14:paraId="4AA37554" w14:textId="4B851876" w:rsidR="0078029A" w:rsidRDefault="00F960C7" w:rsidP="00487BF6">
      <w:pPr>
        <w:spacing w:after="0"/>
        <w:ind w:left="76" w:right="52"/>
        <w:jc w:val="both"/>
        <w:rPr>
          <w:rFonts w:ascii="Times New Roman" w:hAnsi="Times New Roman" w:cs="Times New Roman"/>
        </w:rPr>
      </w:pPr>
      <w:r w:rsidRPr="00F960C7">
        <w:rPr>
          <w:rFonts w:ascii="Times New Roman" w:hAnsi="Times New Roman" w:cs="Times New Roman"/>
        </w:rPr>
        <w:t>Analiza akustyczna załączona w przedstawionych materiałach wykazała, że realizacja przedmiotowej inwestycji nie będzie powodowała przekroczenia dopuszczalnych poziomów hałasu na ww. terenach objętych ochroną akustyczną</w:t>
      </w:r>
      <w:r>
        <w:rPr>
          <w:rFonts w:ascii="Times New Roman" w:hAnsi="Times New Roman" w:cs="Times New Roman"/>
        </w:rPr>
        <w:t>.</w:t>
      </w:r>
    </w:p>
    <w:p w14:paraId="4C0837B7" w14:textId="03A5D24A" w:rsidR="00F960C7" w:rsidRDefault="00F960C7" w:rsidP="00487BF6">
      <w:pPr>
        <w:spacing w:after="0"/>
        <w:ind w:left="76" w:right="52"/>
        <w:jc w:val="both"/>
        <w:rPr>
          <w:rFonts w:ascii="Times New Roman" w:hAnsi="Times New Roman" w:cs="Times New Roman"/>
        </w:rPr>
      </w:pPr>
      <w:r w:rsidRPr="00F960C7">
        <w:rPr>
          <w:rFonts w:ascii="Times New Roman" w:hAnsi="Times New Roman" w:cs="Times New Roman"/>
        </w:rPr>
        <w:t>Przedmiotowa działka dotychczas wykorzystywana była rolniczo. Inwestycja nie będzie związana z pracami rozbiórkowymi. W bezpośrednim sąsiedztwie planowanego przedsięwzięcia znajdują się zabudowania inwentarskie należące do Wnioskodawcy, a zatem inwestycja wpisze się w okoliczny rolniczy krajobraz terenu. Powierzchnia biologicznie czynna wynosić będzie 10 249 m</w:t>
      </w:r>
      <w:r w:rsidRPr="00F960C7">
        <w:rPr>
          <w:rFonts w:ascii="Times New Roman" w:hAnsi="Times New Roman" w:cs="Times New Roman"/>
          <w:vertAlign w:val="superscript"/>
        </w:rPr>
        <w:t xml:space="preserve">2 </w:t>
      </w:r>
      <w:r w:rsidRPr="00F960C7">
        <w:rPr>
          <w:rFonts w:ascii="Times New Roman" w:hAnsi="Times New Roman" w:cs="Times New Roman"/>
        </w:rPr>
        <w:t>. Ponadto przewidziano pas zieleni z nasadzeniem drzew ozdobnych różnej wysokości</w:t>
      </w:r>
      <w:r>
        <w:rPr>
          <w:rFonts w:ascii="Times New Roman" w:hAnsi="Times New Roman" w:cs="Times New Roman"/>
        </w:rPr>
        <w:t>.</w:t>
      </w:r>
    </w:p>
    <w:p w14:paraId="3E1770EC" w14:textId="77777777" w:rsidR="008019FE" w:rsidRPr="00F960C7" w:rsidRDefault="008019FE" w:rsidP="00487BF6">
      <w:pPr>
        <w:pStyle w:val="Akapitzlist"/>
        <w:ind w:left="993"/>
        <w:jc w:val="both"/>
        <w:rPr>
          <w:rFonts w:ascii="Times New Roman" w:hAnsi="Times New Roman" w:cs="Times New Roman"/>
        </w:rPr>
      </w:pPr>
    </w:p>
    <w:p w14:paraId="2453D764" w14:textId="77777777" w:rsidR="008019FE" w:rsidRPr="0078029A" w:rsidRDefault="008019FE" w:rsidP="00487BF6">
      <w:pPr>
        <w:pStyle w:val="Akapitzlist"/>
        <w:ind w:left="956"/>
        <w:jc w:val="both"/>
        <w:rPr>
          <w:rFonts w:ascii="Times New Roman" w:hAnsi="Times New Roman" w:cs="Times New Roman"/>
        </w:rPr>
      </w:pPr>
      <w:r w:rsidRPr="0078029A">
        <w:rPr>
          <w:rFonts w:ascii="Times New Roman" w:hAnsi="Times New Roman" w:cs="Times New Roman"/>
        </w:rPr>
        <w:t xml:space="preserve">    </w:t>
      </w:r>
    </w:p>
    <w:p w14:paraId="3F7AE002" w14:textId="77777777" w:rsidR="008019FE" w:rsidRPr="0078029A" w:rsidRDefault="008019FE" w:rsidP="0078029A">
      <w:pPr>
        <w:pStyle w:val="Akapitzlist"/>
        <w:ind w:left="0"/>
        <w:jc w:val="both"/>
        <w:rPr>
          <w:rFonts w:ascii="Times New Roman" w:hAnsi="Times New Roman" w:cs="Times New Roman"/>
          <w:u w:val="single"/>
        </w:rPr>
      </w:pPr>
    </w:p>
    <w:p w14:paraId="67F08DE8" w14:textId="77777777" w:rsidR="008019FE" w:rsidRPr="0078029A" w:rsidRDefault="008019FE" w:rsidP="0078029A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280EDAD" w14:textId="77777777" w:rsidR="008019FE" w:rsidRPr="0078029A" w:rsidRDefault="008019FE" w:rsidP="0078029A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2FE4984" w14:textId="77777777" w:rsidR="0059760B" w:rsidRPr="0078029A" w:rsidRDefault="0059760B" w:rsidP="0078029A">
      <w:pPr>
        <w:jc w:val="both"/>
        <w:rPr>
          <w:rFonts w:ascii="Times New Roman" w:hAnsi="Times New Roman" w:cs="Times New Roman"/>
        </w:rPr>
      </w:pPr>
    </w:p>
    <w:sectPr w:rsidR="0059760B" w:rsidRPr="0078029A" w:rsidSect="00BA7B2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D958" w14:textId="77777777" w:rsidR="00792BEB" w:rsidRDefault="00792BEB">
      <w:pPr>
        <w:spacing w:after="0" w:line="240" w:lineRule="auto"/>
      </w:pPr>
      <w:r>
        <w:separator/>
      </w:r>
    </w:p>
  </w:endnote>
  <w:endnote w:type="continuationSeparator" w:id="0">
    <w:p w14:paraId="214A6F4F" w14:textId="77777777" w:rsidR="00792BEB" w:rsidRDefault="0079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84577"/>
      <w:docPartObj>
        <w:docPartGallery w:val="Page Numbers (Bottom of Page)"/>
        <w:docPartUnique/>
      </w:docPartObj>
    </w:sdtPr>
    <w:sdtEndPr/>
    <w:sdtContent>
      <w:p w14:paraId="41C41494" w14:textId="7CC75DA8" w:rsidR="00474596" w:rsidRDefault="004745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A8E4A" w14:textId="77777777" w:rsidR="00E41F85" w:rsidRDefault="00792B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EA93" w14:textId="77777777" w:rsidR="00792BEB" w:rsidRDefault="00792BEB">
      <w:pPr>
        <w:spacing w:after="0" w:line="240" w:lineRule="auto"/>
      </w:pPr>
      <w:r>
        <w:separator/>
      </w:r>
    </w:p>
  </w:footnote>
  <w:footnote w:type="continuationSeparator" w:id="0">
    <w:p w14:paraId="0800E92F" w14:textId="77777777" w:rsidR="00792BEB" w:rsidRDefault="0079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62" style="width:20.3pt;height:3.55pt" coordsize="" o:spt="100" o:bullet="t" adj="0,,0" path="" stroked="f">
        <v:stroke joinstyle="miter"/>
        <v:imagedata r:id="rId1" o:title="image6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953" o:spid="_x0000_i1063" type="#_x0000_t75" style="width:19.45pt;height:3.1pt;visibility:visible;mso-wrap-style:square" o:bullet="t">
        <v:imagedata r:id="rId2" o:title=""/>
      </v:shape>
    </w:pict>
  </w:numPicBullet>
  <w:abstractNum w:abstractNumId="0" w15:restartNumberingAfterBreak="0">
    <w:nsid w:val="05146EDC"/>
    <w:multiLevelType w:val="hybridMultilevel"/>
    <w:tmpl w:val="9578B686"/>
    <w:lvl w:ilvl="0" w:tplc="041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0B515762"/>
    <w:multiLevelType w:val="hybridMultilevel"/>
    <w:tmpl w:val="39FE3A6E"/>
    <w:lvl w:ilvl="0" w:tplc="E41A6CE2">
      <w:start w:val="1"/>
      <w:numFmt w:val="bullet"/>
      <w:lvlText w:val="•"/>
      <w:lvlPicBulletId w:val="0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64462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841C0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EEEB4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E3F18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858B4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611D2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9C86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6E22C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51FD2"/>
    <w:multiLevelType w:val="hybridMultilevel"/>
    <w:tmpl w:val="F4D41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7A17"/>
    <w:multiLevelType w:val="hybridMultilevel"/>
    <w:tmpl w:val="D2B296B8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200D4047"/>
    <w:multiLevelType w:val="hybridMultilevel"/>
    <w:tmpl w:val="245C4E4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51D2567"/>
    <w:multiLevelType w:val="hybridMultilevel"/>
    <w:tmpl w:val="3D28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35ADB"/>
    <w:multiLevelType w:val="hybridMultilevel"/>
    <w:tmpl w:val="8A08F1BC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71DF5A88"/>
    <w:multiLevelType w:val="hybridMultilevel"/>
    <w:tmpl w:val="DD20C12A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74874134"/>
    <w:multiLevelType w:val="hybridMultilevel"/>
    <w:tmpl w:val="63067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418CD"/>
    <w:multiLevelType w:val="hybridMultilevel"/>
    <w:tmpl w:val="67C8E4D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0" w15:restartNumberingAfterBreak="0">
    <w:nsid w:val="78860F88"/>
    <w:multiLevelType w:val="hybridMultilevel"/>
    <w:tmpl w:val="F264750A"/>
    <w:lvl w:ilvl="0" w:tplc="041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" w15:restartNumberingAfterBreak="0">
    <w:nsid w:val="79B722F6"/>
    <w:multiLevelType w:val="hybridMultilevel"/>
    <w:tmpl w:val="C28C0C96"/>
    <w:lvl w:ilvl="0" w:tplc="041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FE"/>
    <w:rsid w:val="000209B9"/>
    <w:rsid w:val="00044687"/>
    <w:rsid w:val="000E43D1"/>
    <w:rsid w:val="0012133E"/>
    <w:rsid w:val="001A0B3B"/>
    <w:rsid w:val="001E3D7C"/>
    <w:rsid w:val="0025092E"/>
    <w:rsid w:val="00293CD2"/>
    <w:rsid w:val="003A563B"/>
    <w:rsid w:val="003A7433"/>
    <w:rsid w:val="003B26AB"/>
    <w:rsid w:val="003B367F"/>
    <w:rsid w:val="003C09B2"/>
    <w:rsid w:val="003C57B8"/>
    <w:rsid w:val="00403A54"/>
    <w:rsid w:val="004072C9"/>
    <w:rsid w:val="0045256B"/>
    <w:rsid w:val="00474596"/>
    <w:rsid w:val="00487BF6"/>
    <w:rsid w:val="004B5000"/>
    <w:rsid w:val="0059760B"/>
    <w:rsid w:val="00600506"/>
    <w:rsid w:val="00642C15"/>
    <w:rsid w:val="006666BC"/>
    <w:rsid w:val="00746F43"/>
    <w:rsid w:val="007671D1"/>
    <w:rsid w:val="00773F79"/>
    <w:rsid w:val="0078029A"/>
    <w:rsid w:val="00792BEB"/>
    <w:rsid w:val="007B492B"/>
    <w:rsid w:val="008019FE"/>
    <w:rsid w:val="008368B8"/>
    <w:rsid w:val="00993551"/>
    <w:rsid w:val="00A032DE"/>
    <w:rsid w:val="00A401DC"/>
    <w:rsid w:val="00AB10E6"/>
    <w:rsid w:val="00B16E42"/>
    <w:rsid w:val="00B42D63"/>
    <w:rsid w:val="00B52F8A"/>
    <w:rsid w:val="00B6590B"/>
    <w:rsid w:val="00B87127"/>
    <w:rsid w:val="00C47EB4"/>
    <w:rsid w:val="00C9129E"/>
    <w:rsid w:val="00CD0366"/>
    <w:rsid w:val="00D30F60"/>
    <w:rsid w:val="00D6018C"/>
    <w:rsid w:val="00DE1DB4"/>
    <w:rsid w:val="00E064B8"/>
    <w:rsid w:val="00F73169"/>
    <w:rsid w:val="00F774E6"/>
    <w:rsid w:val="00F80D94"/>
    <w:rsid w:val="00F960C7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2A84"/>
  <w15:chartTrackingRefBased/>
  <w15:docId w15:val="{74C60FEC-4910-4029-8E82-7E42A20A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9FE"/>
    <w:pPr>
      <w:spacing w:after="200" w:line="276" w:lineRule="auto"/>
    </w:pPr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9FE"/>
    <w:pPr>
      <w:ind w:left="720"/>
      <w:contextualSpacing/>
    </w:pPr>
  </w:style>
  <w:style w:type="table" w:styleId="Tabela-Siatka">
    <w:name w:val="Table Grid"/>
    <w:basedOn w:val="Standardowy"/>
    <w:uiPriority w:val="59"/>
    <w:rsid w:val="0080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0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19F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0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9FE"/>
    <w:rPr>
      <w:noProof/>
    </w:rPr>
  </w:style>
  <w:style w:type="character" w:customStyle="1" w:styleId="Nagwek1Znak">
    <w:name w:val="Nagłówek 1 Znak"/>
    <w:basedOn w:val="Domylnaczcionkaakapitu"/>
    <w:link w:val="Nagwek1"/>
    <w:rsid w:val="000209B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Dominowo</dc:creator>
  <cp:keywords/>
  <dc:description/>
  <cp:lastModifiedBy>Urząd Gminy Dominowo</cp:lastModifiedBy>
  <cp:revision>5</cp:revision>
  <cp:lastPrinted>2021-12-13T14:23:00Z</cp:lastPrinted>
  <dcterms:created xsi:type="dcterms:W3CDTF">2021-12-13T13:17:00Z</dcterms:created>
  <dcterms:modified xsi:type="dcterms:W3CDTF">2021-12-13T14:23:00Z</dcterms:modified>
</cp:coreProperties>
</file>