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ab/>
      </w:r>
      <w:r w:rsidRPr="00C302B0">
        <w:rPr>
          <w:rFonts w:ascii="Times New Roman" w:hAnsi="Times New Roman" w:cs="Times New Roman"/>
          <w:b/>
          <w:bCs/>
          <w:sz w:val="20"/>
          <w:szCs w:val="20"/>
        </w:rPr>
        <w:tab/>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C302B0">
        <w:rPr>
          <w:rFonts w:ascii="Times New Roman" w:hAnsi="Times New Roman" w:cs="Times New Roman"/>
          <w:b/>
          <w:bCs/>
          <w:sz w:val="20"/>
          <w:szCs w:val="20"/>
        </w:rPr>
        <w:t>ZAŁĄCZNIK NR 2</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 xml:space="preserve">                                                                                                                                 DO UCHWAŁY NR LVII/497/23</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 xml:space="preserve">                                                                                                             Z DNIA 21.12.2023 r.</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OBJAŚNIENIA DO   ZAŁĄCZNIKA NR 1 -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 xml:space="preserve">WIELOLETNIEJ PROGNOZY FINANSOWEJ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rPr>
        <w:t>NA LATA 2024-2035  GMINY BOBOLICE</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Opracowanie Wieloletniej Prognozy Finansowej dla Gminy Bobolice na lata 2024-2035 oparto na bazie projektu budżetu na 2024 rok. Założono zmiany poszczególnych kategorii dochodów            i wydatków o zakres wykonywanych zadań z uwzględnieniem wprowadzanych zmian formalno-prawnych w jednostkach gminnych  oraz o prognozowane wskaźniki makroekonomiczne.</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Wskaźniki makroekonomiczne przyjęto od 2025 roku na podstawie Wytycznych Ministra Finansów  dotyczących stosowania jednolitych wskaźników, będących podstawą szacowania skutków projektowanych ustaw  mających zastosowanie do sporządzania wieloletnich prognoz finansowych na lata 2023-2027 z dn. 3.10.2023r.. W kolejnych latach przyjęto wskaźnik dla wydatków bieżących na poziomie stałym 1% z uwagi na ich optymalizację w tym okresie poprzez działania , inwestycje obniżające koszty funkcjonowania jednostek. Dane przedstawia poniższa tabela:</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855"/>
        <w:gridCol w:w="675"/>
        <w:gridCol w:w="615"/>
        <w:gridCol w:w="630"/>
        <w:gridCol w:w="675"/>
        <w:gridCol w:w="720"/>
        <w:gridCol w:w="660"/>
        <w:gridCol w:w="615"/>
        <w:gridCol w:w="720"/>
        <w:gridCol w:w="675"/>
        <w:gridCol w:w="765"/>
      </w:tblGrid>
      <w:tr w:rsidR="00C302B0" w:rsidRPr="00C302B0">
        <w:tc>
          <w:tcPr>
            <w:tcW w:w="180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18"/>
                <w:szCs w:val="18"/>
                <w:shd w:val="clear" w:color="auto" w:fill="FFFF00"/>
              </w:rPr>
              <w:t>WYSZCZEGÓLNIENIE</w:t>
            </w:r>
          </w:p>
        </w:tc>
        <w:tc>
          <w:tcPr>
            <w:tcW w:w="85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2025</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2026</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2027</w:t>
            </w:r>
          </w:p>
        </w:tc>
        <w:tc>
          <w:tcPr>
            <w:tcW w:w="63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2028</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2029</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2031</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2032</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2033</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2034</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r w:rsidRPr="00C302B0">
              <w:rPr>
                <w:rFonts w:ascii="Times New Roman" w:hAnsi="Times New Roman" w:cs="Times New Roman"/>
                <w:b/>
                <w:bCs/>
                <w:color w:val="000000"/>
                <w:sz w:val="20"/>
                <w:szCs w:val="20"/>
                <w:shd w:val="clear" w:color="auto" w:fill="FFFF00"/>
              </w:rPr>
              <w:t>2035</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shd w:val="clear" w:color="auto" w:fill="FFFF00"/>
              </w:rPr>
            </w:pPr>
          </w:p>
        </w:tc>
      </w:tr>
      <w:tr w:rsidR="00C302B0" w:rsidRPr="00C302B0">
        <w:tc>
          <w:tcPr>
            <w:tcW w:w="180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wzrost gospodarczy (dynamika /</w:t>
            </w:r>
            <w:proofErr w:type="spellStart"/>
            <w:r w:rsidRPr="00C302B0">
              <w:rPr>
                <w:rFonts w:ascii="Times New Roman" w:hAnsi="Times New Roman" w:cs="Times New Roman"/>
                <w:color w:val="000000"/>
                <w:sz w:val="20"/>
                <w:szCs w:val="20"/>
                <w:shd w:val="clear" w:color="auto" w:fill="FFFF00"/>
              </w:rPr>
              <w:t>deflator</w:t>
            </w:r>
            <w:proofErr w:type="spellEnd"/>
            <w:r w:rsidRPr="00C302B0">
              <w:rPr>
                <w:rFonts w:ascii="Times New Roman" w:hAnsi="Times New Roman" w:cs="Times New Roman"/>
                <w:color w:val="000000"/>
                <w:sz w:val="20"/>
                <w:szCs w:val="20"/>
                <w:shd w:val="clear" w:color="auto" w:fill="FFFF00"/>
              </w:rPr>
              <w:t xml:space="preserve"> PKB)</w:t>
            </w:r>
          </w:p>
        </w:tc>
        <w:tc>
          <w:tcPr>
            <w:tcW w:w="85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3,9</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2,9</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2,5</w:t>
            </w:r>
          </w:p>
        </w:tc>
        <w:tc>
          <w:tcPr>
            <w:tcW w:w="63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shd w:val="clear" w:color="auto" w:fill="FFFF00"/>
              </w:rPr>
            </w:pPr>
            <w:r w:rsidRPr="00C302B0">
              <w:rPr>
                <w:rFonts w:ascii="Times New Roman" w:hAnsi="Times New Roman" w:cs="Times New Roman"/>
                <w:color w:val="000000"/>
                <w:sz w:val="20"/>
                <w:szCs w:val="20"/>
                <w:shd w:val="clear" w:color="auto" w:fill="FFFF00"/>
              </w:rPr>
              <w:t>1,0</w:t>
            </w:r>
          </w:p>
        </w:tc>
      </w:tr>
    </w:tbl>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8"/>
          <w:szCs w:val="28"/>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C302B0">
        <w:rPr>
          <w:rFonts w:ascii="Times New Roman" w:hAnsi="Times New Roman" w:cs="Times New Roman"/>
          <w:b/>
          <w:bCs/>
          <w:color w:val="000000"/>
          <w:sz w:val="28"/>
          <w:szCs w:val="28"/>
        </w:rPr>
        <w:t>ZAŁOŻENIA:</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C302B0">
        <w:rPr>
          <w:rFonts w:ascii="Times New Roman" w:hAnsi="Times New Roman" w:cs="Times New Roman"/>
          <w:b/>
          <w:bCs/>
          <w:color w:val="000000"/>
          <w:sz w:val="24"/>
          <w:szCs w:val="24"/>
        </w:rPr>
        <w:t>DOCHODY</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 xml:space="preserve">W wieloletniej prognozie finansowej na lata 2024 - 2035 przyjęto wzrost ogólnych kwot dochodów.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C302B0">
        <w:rPr>
          <w:rFonts w:ascii="Times New Roman" w:hAnsi="Times New Roman" w:cs="Times New Roman"/>
          <w:b/>
          <w:bCs/>
          <w:color w:val="000000"/>
          <w:sz w:val="24"/>
          <w:szCs w:val="24"/>
        </w:rPr>
        <w:t xml:space="preserve">Dochody bieżące: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lastRenderedPageBreak/>
        <w:t xml:space="preserve">Uwzględniono zmniejszone  dochody o dotacje. Uwzględniono dochody z udziałem środków UE i dofinansowaniem zewnętrznym oraz wzrost dochodów własnych z tytułu powstania nowych nieruchomości na terenie gminy i wzrostu w 2024 roku stawek podatków i opłat lokalnych średnio o 12%. </w:t>
      </w:r>
      <w:proofErr w:type="spellStart"/>
      <w:r w:rsidRPr="00C302B0">
        <w:rPr>
          <w:rFonts w:ascii="Times New Roman" w:hAnsi="Times New Roman" w:cs="Times New Roman"/>
          <w:color w:val="000000"/>
          <w:sz w:val="24"/>
          <w:szCs w:val="24"/>
        </w:rPr>
        <w:t>POszczególne</w:t>
      </w:r>
      <w:proofErr w:type="spellEnd"/>
      <w:r w:rsidRPr="00C302B0">
        <w:rPr>
          <w:rFonts w:ascii="Times New Roman" w:hAnsi="Times New Roman" w:cs="Times New Roman"/>
          <w:color w:val="000000"/>
          <w:sz w:val="24"/>
          <w:szCs w:val="24"/>
        </w:rPr>
        <w:t xml:space="preserve"> kategorie dochodów zaplanowano wg zasady : w latach 2026-2027 wskaźnik wzrostu na poziomie 1,2%, w latach 2028-2035  - wskaźnik na stałym poziomie  1% z uwagi na zmienność czynników zewnętrznych regulujących poziom dochodów gminnych.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b/>
          <w:bCs/>
          <w:color w:val="000000"/>
          <w:sz w:val="24"/>
          <w:szCs w:val="24"/>
        </w:rPr>
        <w:t>Dochody z podatku od nieruchomości:</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 xml:space="preserve">Planuje się wartość dochodów w 2024 roku powiększoną o wskaźnik inflacji do planowanego wykonania za 2023 rok, tj. o  12%.  W latach kolejnych 2025-2035 </w:t>
      </w:r>
      <w:proofErr w:type="spellStart"/>
      <w:r w:rsidRPr="00C302B0">
        <w:rPr>
          <w:rFonts w:ascii="Times New Roman" w:hAnsi="Times New Roman" w:cs="Times New Roman"/>
          <w:color w:val="000000"/>
          <w:sz w:val="24"/>
          <w:szCs w:val="24"/>
        </w:rPr>
        <w:t>ostrożnościowo</w:t>
      </w:r>
      <w:proofErr w:type="spellEnd"/>
      <w:r w:rsidRPr="00C302B0">
        <w:rPr>
          <w:rFonts w:ascii="Times New Roman" w:hAnsi="Times New Roman" w:cs="Times New Roman"/>
          <w:color w:val="000000"/>
          <w:sz w:val="24"/>
          <w:szCs w:val="24"/>
        </w:rPr>
        <w:t xml:space="preserve">  zaplanowano wzrost dochodów z tego tytułu na poziomie  1%. Uwzględniono w prognozie wzrost z tytułu powstania na terenie gminy farm wiatrowych i fotowoltaicznych, i innych inwestycji ( w tym obiektów drogi S11), ale   także możliwość korzystania przez przedsiębiorców z ulg podatku      w zakresie pomocy regionalnej i de </w:t>
      </w:r>
      <w:proofErr w:type="spellStart"/>
      <w:r w:rsidRPr="00C302B0">
        <w:rPr>
          <w:rFonts w:ascii="Times New Roman" w:hAnsi="Times New Roman" w:cs="Times New Roman"/>
          <w:color w:val="000000"/>
          <w:sz w:val="24"/>
          <w:szCs w:val="24"/>
        </w:rPr>
        <w:t>minimis</w:t>
      </w:r>
      <w:proofErr w:type="spellEnd"/>
      <w:r w:rsidRPr="00C302B0">
        <w:rPr>
          <w:rFonts w:ascii="Times New Roman" w:hAnsi="Times New Roman" w:cs="Times New Roman"/>
          <w:color w:val="000000"/>
          <w:sz w:val="24"/>
          <w:szCs w:val="24"/>
        </w:rPr>
        <w:t xml:space="preserve">.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C302B0">
        <w:rPr>
          <w:rFonts w:ascii="Times New Roman" w:hAnsi="Times New Roman" w:cs="Times New Roman"/>
          <w:b/>
          <w:bCs/>
          <w:color w:val="000000"/>
          <w:sz w:val="24"/>
          <w:szCs w:val="24"/>
        </w:rPr>
        <w:t>Udziały w podatku dochodowym od osób fizycznych:</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 xml:space="preserve">Wartość planowanych udziałów w podatku dochodowym od osób fizycznych w 2024 roku ujęta jest na podstawie Zawiadomienia Ministra Finansów. W kolejnych okresach w  założeniach na lata 2025 -2026 przyjęto planowany wzrost poziomu wynagrodzeń, w tym płacy minimalnej oraz zatrudnienia w gospodarce narodowej z uwzględnieniem spadku bezrobocia w gminie. Wskaźnik wzrostu w  2025 roku przyjęto wg Wytycznych na poziomie 3,9%, w latach 2026 -2027 na poziomie  1,2% wzrostu , a od 2028 roku do 2035  oparto o stały wskaźnik wzrostu na poziomie 1%.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C302B0">
        <w:rPr>
          <w:rFonts w:ascii="Times New Roman" w:hAnsi="Times New Roman" w:cs="Times New Roman"/>
          <w:b/>
          <w:bCs/>
          <w:color w:val="000000"/>
          <w:sz w:val="24"/>
          <w:szCs w:val="24"/>
        </w:rPr>
        <w:t>Udziały w podatku dochodowym od osób prawnych:</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color w:val="000000"/>
          <w:sz w:val="24"/>
          <w:szCs w:val="24"/>
        </w:rPr>
        <w:t xml:space="preserve">Wartość planowanych udziałów na 2024 rok ujęto według zawiadomienia Ministra Finansów. Wzrost dochodów zaplanowano z uwagi na specyfikę gospodarczą gminy oraz oddanie nowych terenów inwestycyjnych w 2025 roku o 7%, a w latach 2026-2027  o przewidywany wskaźnik dynamiki  wzrostu 1,2% natomiast w  kolejnych  latach prognozy 2028-2035 na poziomie 1% wzrostu.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C302B0" w:rsidRPr="00C302B0" w:rsidRDefault="00C302B0" w:rsidP="00C302B0">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Subwencja ogólna:</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Wartość planowanych dochodów w 2024 roku z tytułu subwencji ogólnej przyjęto według Zawiadomienia Ministra Finansów. W prognozie zaplanowano w 2025 roku wzrost o wskaźnik wg Wytycznych MF , tj. na poziomie 3,9% do 2024 roku, w latach 2026-2027 na poziomie 1,2%,a od 2028 do 2035 na stałym poziomie 1%  z uwagi na zmienność czynników zewnętrznych regulujących jej wysokość.</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C302B0" w:rsidRPr="00C302B0" w:rsidRDefault="00C302B0" w:rsidP="00C302B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C302B0">
        <w:rPr>
          <w:rFonts w:ascii="Times New Roman" w:hAnsi="Times New Roman" w:cs="Times New Roman"/>
          <w:b/>
          <w:bCs/>
          <w:color w:val="000000"/>
          <w:sz w:val="24"/>
          <w:szCs w:val="24"/>
        </w:rPr>
        <w:t>Dotacje i środki otrzymane na zadania własne i zlecone:</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C302B0">
        <w:rPr>
          <w:rFonts w:ascii="Times New Roman" w:hAnsi="Times New Roman" w:cs="Times New Roman"/>
          <w:color w:val="000000"/>
          <w:sz w:val="24"/>
          <w:szCs w:val="24"/>
        </w:rPr>
        <w:t>Pozycje dochodów na 2024 rok ujęto wg zawiadomień. Prognoza na 2024 rok i kolejne lata  uwzględnia wycofanie dochodów z tytułu dotacji celowej na świadczenia wychowawcze w porównaniu do wykonania z lat ubiegłych  Przyjęto w założeniach  wzrost wysokości  dochodów z tego tytułu o 3,9% wg Wytycznych MF, w latach  2026 - 2027  wzrost o 1,2% planowanych dochodów, a w kolejnych  latach prognozy 2028-2035 o 1% wzrostu dochodów  z tego tytułu.</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C302B0" w:rsidRPr="00C302B0" w:rsidRDefault="00C302B0" w:rsidP="00C302B0">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Pozostałe dochody bieżące:</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2025 roku o 3,9% ( wg Wytycznych MF ) oraz z uwagi rozpoczęcie procedury pozyskiwania wpływów za służebność przesyłu,   w 2026 -2027 roku o 1,2%. W 2028 -2035  roku na stałym poziomie 1%.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 xml:space="preserve">    7. Dochody majątkowe: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C302B0">
        <w:rPr>
          <w:rFonts w:ascii="Times New Roman" w:hAnsi="Times New Roman" w:cs="Times New Roman"/>
          <w:sz w:val="24"/>
          <w:szCs w:val="24"/>
        </w:rPr>
        <w:t xml:space="preserve">Dochody w latach 2024-2025 zwiększono o planowane przedsięwzięcia z udziałem środków i dofinansowaniem zewnętrznym oraz uzyskaniem wpływów z odszkodowań za </w:t>
      </w:r>
      <w:proofErr w:type="spellStart"/>
      <w:r w:rsidRPr="00C302B0">
        <w:rPr>
          <w:rFonts w:ascii="Times New Roman" w:hAnsi="Times New Roman" w:cs="Times New Roman"/>
          <w:sz w:val="24"/>
          <w:szCs w:val="24"/>
        </w:rPr>
        <w:t>wywłaśzczenia</w:t>
      </w:r>
      <w:proofErr w:type="spellEnd"/>
      <w:r w:rsidRPr="00C302B0">
        <w:rPr>
          <w:rFonts w:ascii="Times New Roman" w:hAnsi="Times New Roman" w:cs="Times New Roman"/>
          <w:sz w:val="24"/>
          <w:szCs w:val="24"/>
        </w:rPr>
        <w:t xml:space="preserve"> gruntów pod budowę drogi S11.  Ponadto w 2024 roku zaplanowano również, podobnie jak w 2023 roku sprzedaż mienia pod inwestycje, wg planu sprzedaży. Zaplanowano spadek w porównaniu do planu na 2023 rok.  Od 2025 roku ustalono dochody ze sprzedaży majątku na stałym poziomie, bez wskaźnika wzrostu, w oparciu o przewidywane wpływy ze sprzedaży mienia w tym okresie, uznając, że planowanie wzrostu  obarczone jest  dużym ryzykiem błędu, w wysokości 465 000 / 400 000 zł. i w latach kolejnych 2027-2035 w wysokości 260 000 zł.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C302B0">
        <w:rPr>
          <w:rFonts w:ascii="Times New Roman" w:hAnsi="Times New Roman" w:cs="Times New Roman"/>
          <w:sz w:val="24"/>
          <w:szCs w:val="24"/>
        </w:rPr>
        <w:t>Dochody z tytułu dotacji i środków otrzymanych ujmuje się łącznie z czwartą cyfrą "0,1,2,7,8,9".</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C302B0">
        <w:rPr>
          <w:rFonts w:ascii="Times New Roman" w:hAnsi="Times New Roman" w:cs="Times New Roman"/>
          <w:b/>
          <w:bCs/>
          <w:color w:val="000000"/>
          <w:sz w:val="24"/>
          <w:szCs w:val="24"/>
        </w:rPr>
        <w:t>WYDATKI:</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C302B0">
        <w:rPr>
          <w:rFonts w:ascii="Times New Roman" w:hAnsi="Times New Roman" w:cs="Times New Roman"/>
          <w:color w:val="000000"/>
          <w:sz w:val="24"/>
          <w:szCs w:val="24"/>
        </w:rPr>
        <w:t xml:space="preserve">Wydatki ogółem zaplanowano z uwzględnieniem wskaźnika wzrostu. Wskaźnik wzrostu dla wydatków bieżących na lata 2025 -2027  zaplanowano w porównaniu do 2024 roku na stałym poziomie wzrostu, tj. 1,6% , natomiast w kolejnych latach prognozy 2028-2035 o ok.1% wzrostu, z uwagi na duży wskaźnik zmienności czynników zewnętrznych </w:t>
      </w:r>
      <w:proofErr w:type="spellStart"/>
      <w:r w:rsidRPr="00C302B0">
        <w:rPr>
          <w:rFonts w:ascii="Times New Roman" w:hAnsi="Times New Roman" w:cs="Times New Roman"/>
          <w:color w:val="000000"/>
          <w:sz w:val="24"/>
          <w:szCs w:val="24"/>
        </w:rPr>
        <w:t>mającyh</w:t>
      </w:r>
      <w:proofErr w:type="spellEnd"/>
      <w:r w:rsidRPr="00C302B0">
        <w:rPr>
          <w:rFonts w:ascii="Times New Roman" w:hAnsi="Times New Roman" w:cs="Times New Roman"/>
          <w:color w:val="000000"/>
          <w:sz w:val="24"/>
          <w:szCs w:val="24"/>
        </w:rPr>
        <w:t xml:space="preserve"> wpływ na ich wysokość.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Wydatki na wynagrodzenia wraz z pochodnymi ustalono w 2024 roku  na poziomie wzrostu 15% w porównaniu do 2023 roku.  Natomiast w latach 2025-2027  roku  zaplanowano na podstawie Wytycznych MF o wskaźnik dynamik dynamiki realnej wynagrodzenia brutto w gospodarce narodowej, tj.: w 2025 do 2026 roku o 2,8% wzrostu, w 2027 o 2,5% wzrostu, a od 2028-2035 na poziomie 1% wzrostu przez cały okres prognozy. Pozycja wynagrodzenia i pochodne od nich dotyczy  wydatków   z czwartą cyfrą "0".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Wydatki na obsługę długu zaplanowano na podstawie harmonogramów i ich zmian spłat zaciągniętych kredytów, emisji obligacji, z uwzględnieniem obowiązujących stóp procentowych oraz analizie wykonania z lat ubiegłych. W wydatkach na obsługę uwzględniono potencjalny krótkoterminowy w 2024 roku kredyt w rachunku bieżącym do płatności projektu z udziałem środków UE jako refundacji poniesionych wydatków w limicie 3 000 000 zł.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C302B0">
        <w:rPr>
          <w:rFonts w:ascii="Times New Roman" w:hAnsi="Times New Roman" w:cs="Times New Roman"/>
          <w:sz w:val="24"/>
          <w:szCs w:val="24"/>
        </w:rPr>
        <w:t>Pozycja wydatków bieżących z czwartą cyfrą "1,2,5,6,7,8,9" dotyczy wydatków z udziałem środków UE, w tym również wynagrodzenia wraz z pochodnymi od nich.</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PRZEDSIĘWZIĘCIA:</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W ramach </w:t>
      </w:r>
      <w:r w:rsidRPr="00C302B0">
        <w:rPr>
          <w:rFonts w:ascii="Times New Roman" w:hAnsi="Times New Roman" w:cs="Times New Roman"/>
          <w:b/>
          <w:bCs/>
          <w:sz w:val="24"/>
          <w:szCs w:val="24"/>
        </w:rPr>
        <w:t xml:space="preserve">przedsięwzięć </w:t>
      </w:r>
      <w:r w:rsidRPr="00C302B0">
        <w:rPr>
          <w:rFonts w:ascii="Times New Roman" w:hAnsi="Times New Roman" w:cs="Times New Roman"/>
          <w:sz w:val="24"/>
          <w:szCs w:val="24"/>
        </w:rPr>
        <w:t xml:space="preserve">wykazanych w załączniku nr 3 do uchwały w sprawie wieloletniej prognozy finansowej wykazuje się kwoty wynikające z zawartych już umów lub kosztorysów. Wydatki majątkowe zaplanowano na przedsięwzięcia przekraczające rok budżetowy, realizowane </w:t>
      </w:r>
      <w:r w:rsidRPr="00C302B0">
        <w:rPr>
          <w:rFonts w:ascii="Times New Roman" w:hAnsi="Times New Roman" w:cs="Times New Roman"/>
          <w:sz w:val="24"/>
          <w:szCs w:val="24"/>
        </w:rPr>
        <w:lastRenderedPageBreak/>
        <w:t>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PRZYCHODY:</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W 2024 roku ujęte są przychody  w wysokości  </w:t>
      </w:r>
      <w:r w:rsidRPr="00C302B0">
        <w:rPr>
          <w:rFonts w:ascii="Times New Roman" w:hAnsi="Times New Roman" w:cs="Times New Roman"/>
          <w:b/>
          <w:bCs/>
          <w:sz w:val="24"/>
          <w:szCs w:val="24"/>
        </w:rPr>
        <w:t>1 302 824,00 zł</w:t>
      </w:r>
      <w:r w:rsidRPr="00C302B0">
        <w:rPr>
          <w:rFonts w:ascii="Times New Roman" w:hAnsi="Times New Roman" w:cs="Times New Roman"/>
          <w:sz w:val="24"/>
          <w:szCs w:val="24"/>
        </w:rPr>
        <w:t xml:space="preserve">. z tytułu wolnych środków. o których mowa w art. 217 ust. 2 pkt. 6 </w:t>
      </w:r>
      <w:proofErr w:type="spellStart"/>
      <w:r w:rsidRPr="00C302B0">
        <w:rPr>
          <w:rFonts w:ascii="Times New Roman" w:hAnsi="Times New Roman" w:cs="Times New Roman"/>
          <w:sz w:val="24"/>
          <w:szCs w:val="24"/>
        </w:rPr>
        <w:t>uopf</w:t>
      </w:r>
      <w:proofErr w:type="spellEnd"/>
      <w:r w:rsidRPr="00C302B0">
        <w:rPr>
          <w:rFonts w:ascii="Times New Roman" w:hAnsi="Times New Roman" w:cs="Times New Roman"/>
          <w:sz w:val="24"/>
          <w:szCs w:val="24"/>
        </w:rPr>
        <w:t xml:space="preserve">. jako nadwyżki środków pieniężnych na rachunku bieżącym budżetu, w tym wynikających z rozliczeń wyemitowanych w ubiegłych latach obligacji komunalnych i kredytów. Wolne środki w planowanej wysokości nie zostaną wykorzystane do końca 2023 roku. Wolne środki ustalono w 2023 roku do wykorzystania na poziomie 3 731 155,20 zł., zaangażowane i realizowane w 2023 roku na poziomie 2 404 298,02 zł.   Na 2024 rok pozostało wg planu do wykorzystania 1 326 857,18 zł. </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b/>
          <w:bCs/>
          <w:sz w:val="24"/>
          <w:szCs w:val="24"/>
        </w:rPr>
        <w:t>ROZCHODY</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4"/>
          <w:szCs w:val="24"/>
        </w:rPr>
        <w:t xml:space="preserve">W pozycji rozchodów na wartość ogółem 1 730 000,00 zł. ujęto zobowiązania już zaciągnięte, związane z emisją obligacji oraz kredytem na kwotę 1 730 000 zł.,  przedstawione szczegółowo poniżej: </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Harmonogram spłaty zaciągniętych zobowiązań (</w:t>
      </w:r>
      <w:r w:rsidRPr="00C302B0">
        <w:rPr>
          <w:rFonts w:ascii="Times New Roman" w:hAnsi="Times New Roman" w:cs="Times New Roman"/>
          <w:i/>
          <w:iCs/>
          <w:sz w:val="24"/>
          <w:szCs w:val="24"/>
        </w:rPr>
        <w:t>w tys. zł</w:t>
      </w:r>
      <w:r w:rsidRPr="00C302B0">
        <w:rPr>
          <w:rFonts w:ascii="Times New Roman" w:hAnsi="Times New Roman" w:cs="Times New Roman"/>
          <w:sz w:val="24"/>
          <w:szCs w:val="24"/>
        </w:rPr>
        <w:t xml:space="preserve">.) </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C302B0" w:rsidRPr="00C302B0">
        <w:tc>
          <w:tcPr>
            <w:tcW w:w="533"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roofErr w:type="spellStart"/>
            <w:r w:rsidRPr="00C302B0">
              <w:rPr>
                <w:rFonts w:ascii="Times New Roman" w:hAnsi="Times New Roman" w:cs="Times New Roman"/>
                <w:b/>
                <w:bCs/>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shd w:val="clear" w:color="auto" w:fill="00FFFF"/>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shd w:val="clear" w:color="auto" w:fill="00FF00"/>
              </w:rPr>
            </w:pPr>
            <w:r w:rsidRPr="00C302B0">
              <w:rPr>
                <w:rFonts w:ascii="Times New Roman" w:hAnsi="Times New Roman" w:cs="Times New Roman"/>
                <w:b/>
                <w:bCs/>
                <w:sz w:val="20"/>
                <w:szCs w:val="20"/>
                <w:shd w:val="clear" w:color="auto" w:fill="00FF0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2026</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tc>
      </w:tr>
      <w:tr w:rsidR="00C302B0" w:rsidRPr="00C302B0">
        <w:tc>
          <w:tcPr>
            <w:tcW w:w="533"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302B0">
              <w:rPr>
                <w:rFonts w:ascii="Times New Roman" w:hAnsi="Times New Roman" w:cs="Times New Roman"/>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650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shd w:val="clear" w:color="auto" w:fill="00FFFF"/>
              </w:rPr>
              <w:t>1 000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C302B0">
              <w:rPr>
                <w:rFonts w:ascii="Times New Roman" w:hAnsi="Times New Roman" w:cs="Times New Roman"/>
                <w:b/>
                <w:bCs/>
                <w:sz w:val="20"/>
                <w:szCs w:val="20"/>
                <w:shd w:val="clear" w:color="auto" w:fill="00FF00"/>
              </w:rPr>
              <w:t>0</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r>
      <w:tr w:rsidR="00C302B0" w:rsidRPr="00C302B0">
        <w:tc>
          <w:tcPr>
            <w:tcW w:w="533"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302B0">
              <w:rPr>
                <w:rFonts w:ascii="Times New Roman" w:hAnsi="Times New Roman" w:cs="Times New Roman"/>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b/>
                <w:bCs/>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shd w:val="clear" w:color="auto" w:fill="00FFFF"/>
              </w:rPr>
              <w:t>300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C302B0">
              <w:rPr>
                <w:rFonts w:ascii="Times New Roman" w:hAnsi="Times New Roman" w:cs="Times New Roman"/>
                <w:b/>
                <w:bCs/>
                <w:sz w:val="20"/>
                <w:szCs w:val="20"/>
                <w:shd w:val="clear" w:color="auto" w:fill="00FF00"/>
              </w:rPr>
              <w:t>1 300</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r>
      <w:tr w:rsidR="00C302B0" w:rsidRPr="00C302B0">
        <w:tc>
          <w:tcPr>
            <w:tcW w:w="533"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3</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KREDYT NA 1 000 zł na pokrycie deficytu - dotację celową dla Powiatu na I etap przebudowy i remontu drogi powiatowej Świelino-Dargiń Grzybnica</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KREDYT NA 720 zł na pokrycie deficytu - dotacje celową dla Powiatu na I etap przebudowy i remontu drogi powiatowej Świelino-Dargiń Grzybnica</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250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250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shd w:val="clear" w:color="auto" w:fill="00FFFF"/>
              </w:rPr>
              <w:t>250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shd w:val="clear" w:color="auto" w:fill="00FFFF"/>
              </w:rPr>
              <w:t>180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C302B0">
              <w:rPr>
                <w:rFonts w:ascii="Times New Roman" w:hAnsi="Times New Roman" w:cs="Times New Roman"/>
                <w:b/>
                <w:bCs/>
                <w:sz w:val="20"/>
                <w:szCs w:val="20"/>
                <w:shd w:val="clear" w:color="auto" w:fill="00FF00"/>
              </w:rPr>
              <w:t>250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shd w:val="clear" w:color="auto" w:fill="00FF00"/>
              </w:rPr>
            </w:pPr>
            <w:r w:rsidRPr="00C302B0">
              <w:rPr>
                <w:rFonts w:ascii="Times New Roman" w:hAnsi="Times New Roman" w:cs="Times New Roman"/>
                <w:b/>
                <w:bCs/>
                <w:sz w:val="20"/>
                <w:szCs w:val="20"/>
                <w:shd w:val="clear" w:color="auto" w:fill="00FF00"/>
              </w:rPr>
              <w:t>180</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180</w:t>
            </w:r>
          </w:p>
        </w:tc>
      </w:tr>
      <w:tr w:rsidR="00C302B0" w:rsidRPr="00C302B0">
        <w:tc>
          <w:tcPr>
            <w:tcW w:w="533"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259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shd w:val="clear" w:color="auto" w:fill="00FFFF"/>
              </w:rPr>
              <w:t>1 730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302B0">
              <w:rPr>
                <w:rFonts w:ascii="Times New Roman" w:hAnsi="Times New Roman" w:cs="Times New Roman"/>
                <w:b/>
                <w:bCs/>
                <w:sz w:val="20"/>
                <w:szCs w:val="20"/>
                <w:shd w:val="clear" w:color="auto" w:fill="00FF00"/>
              </w:rPr>
              <w:t>1 730</w:t>
            </w:r>
          </w:p>
        </w:tc>
        <w:tc>
          <w:tcPr>
            <w:tcW w:w="7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1 520</w:t>
            </w:r>
          </w:p>
        </w:tc>
      </w:tr>
    </w:tbl>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roofErr w:type="spellStart"/>
      <w:r w:rsidRPr="00C302B0">
        <w:rPr>
          <w:rFonts w:ascii="Times New Roman" w:hAnsi="Times New Roman" w:cs="Times New Roman"/>
          <w:sz w:val="20"/>
          <w:szCs w:val="20"/>
        </w:rPr>
        <w:t>cd</w:t>
      </w:r>
      <w:proofErr w:type="spellEnd"/>
      <w:r w:rsidRPr="00C302B0">
        <w:rPr>
          <w:rFonts w:ascii="Times New Roman" w:hAnsi="Times New Roman" w:cs="Times New Roman"/>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C302B0" w:rsidRPr="00C302B0">
        <w:tc>
          <w:tcPr>
            <w:tcW w:w="578"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302B0">
              <w:rPr>
                <w:rFonts w:ascii="Times New Roman" w:hAnsi="Times New Roman" w:cs="Times New Roman"/>
                <w:b/>
                <w:bCs/>
                <w:sz w:val="20"/>
                <w:szCs w:val="20"/>
              </w:rPr>
              <w:t>2035</w:t>
            </w:r>
          </w:p>
        </w:tc>
      </w:tr>
      <w:tr w:rsidR="00C302B0" w:rsidRPr="00C302B0">
        <w:tc>
          <w:tcPr>
            <w:tcW w:w="57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302B0">
              <w:rPr>
                <w:rFonts w:ascii="Times New Roman" w:hAnsi="Times New Roman" w:cs="Times New Roman"/>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r>
      <w:tr w:rsidR="00C302B0" w:rsidRPr="00C302B0">
        <w:tc>
          <w:tcPr>
            <w:tcW w:w="57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302B0">
              <w:rPr>
                <w:rFonts w:ascii="Times New Roman" w:hAnsi="Times New Roman" w:cs="Times New Roman"/>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r>
      <w:tr w:rsidR="00C302B0" w:rsidRPr="00C302B0">
        <w:tc>
          <w:tcPr>
            <w:tcW w:w="57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3</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KREDYT NA 1 000 zł na pokrycie deficytu - dotację celową dla Powiatu</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 xml:space="preserve">KREDYT na 720 </w:t>
            </w:r>
            <w:proofErr w:type="spellStart"/>
            <w:r w:rsidRPr="00C302B0">
              <w:rPr>
                <w:rFonts w:ascii="Times New Roman" w:hAnsi="Times New Roman" w:cs="Times New Roman"/>
                <w:sz w:val="20"/>
                <w:szCs w:val="20"/>
              </w:rPr>
              <w:t>tys</w:t>
            </w:r>
            <w:proofErr w:type="spellEnd"/>
            <w:r w:rsidRPr="00C302B0">
              <w:rPr>
                <w:rFonts w:ascii="Times New Roman" w:hAnsi="Times New Roman" w:cs="Times New Roman"/>
                <w:sz w:val="20"/>
                <w:szCs w:val="20"/>
              </w:rPr>
              <w:t xml:space="preserve"> zł. na pokrycie deficytu - dotacje celową dla Powiatu na I etap przebudowy i remontu drogi powiatowej Świelino-Dargiń- Grzybnica</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0</w:t>
            </w:r>
          </w:p>
        </w:tc>
      </w:tr>
      <w:tr w:rsidR="00C302B0" w:rsidRPr="00C302B0">
        <w:tc>
          <w:tcPr>
            <w:tcW w:w="578"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302B0">
              <w:rPr>
                <w:rFonts w:ascii="Times New Roman" w:hAnsi="Times New Roman" w:cs="Times New Roman"/>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C302B0">
              <w:rPr>
                <w:rFonts w:ascii="Times New Roman" w:hAnsi="Times New Roman" w:cs="Times New Roman"/>
                <w:sz w:val="20"/>
                <w:szCs w:val="20"/>
              </w:rPr>
              <w:t>1 340</w:t>
            </w:r>
          </w:p>
        </w:tc>
      </w:tr>
    </w:tbl>
    <w:p w:rsidR="00C302B0" w:rsidRPr="00C302B0" w:rsidRDefault="00C302B0" w:rsidP="00C302B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C302B0">
        <w:rPr>
          <w:rFonts w:ascii="Times New Roman" w:hAnsi="Times New Roman" w:cs="Times New Roman"/>
          <w:b/>
          <w:bCs/>
          <w:sz w:val="28"/>
          <w:szCs w:val="28"/>
        </w:rPr>
        <w:t>Wynik budżetu</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Pozycja Wynik budżetu jest różnicą pomiędzy pozycjami I „Dochody” a pozycją II „Wydatki”.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W latach 2025-2035  planuje się nadwyżki budżetowe w wysokości równej spłacie prognozowanych rat, wg zasady równoważenia budżetu.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 xml:space="preserve">W 2024 roku zaplanowano nadwyżkę budżetową w wysokości 427 176 zł., która zostanie przeznaczona na pokrycie spłat wcześniej zaciągniętych zobowiązań z tytułu kredytów.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8"/>
          <w:szCs w:val="28"/>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C302B0">
        <w:rPr>
          <w:rFonts w:ascii="Times New Roman" w:hAnsi="Times New Roman" w:cs="Times New Roman"/>
          <w:b/>
          <w:bCs/>
          <w:sz w:val="28"/>
          <w:szCs w:val="28"/>
        </w:rPr>
        <w:t xml:space="preserve">Kwota długu, sposób jego sfinansowania i relacja o której mowa w art. 243 ustawy o finansach publicznych. </w:t>
      </w: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lastRenderedPageBreak/>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Relacja o której mowa w art. 243 ustawy o finansach publicznych wyliczona została w pozycjach od 8.3 do 8.4.1 załącznika nr 1.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Zgodnie z przyjętymi założeniami do projektu budżetu na 2024 roku zadłużenie Gminy Bobolice na koniec 2024 roku wyniesie 14 860 000 zł. z tytułu zaciągniętych w latach poprzednich kredytów i emisji obligacji wyłącznie  na zadania inwestycyjne, związane z rozwojem Gminy. Gmina nie planuje zaciągania nowych zobowiązań. Wskaźniki zadłużenia zostały spełnione zgod</w:t>
      </w:r>
      <w:r w:rsidRPr="00C302B0">
        <w:rPr>
          <w:rFonts w:ascii="Times New Roman" w:hAnsi="Times New Roman" w:cs="Times New Roman"/>
          <w:color w:val="000000"/>
          <w:sz w:val="24"/>
          <w:szCs w:val="24"/>
        </w:rPr>
        <w:t xml:space="preserve">nie z art. 243 </w:t>
      </w:r>
      <w:proofErr w:type="spellStart"/>
      <w:r w:rsidRPr="00C302B0">
        <w:rPr>
          <w:rFonts w:ascii="Times New Roman" w:hAnsi="Times New Roman" w:cs="Times New Roman"/>
          <w:color w:val="000000"/>
          <w:sz w:val="24"/>
          <w:szCs w:val="24"/>
        </w:rPr>
        <w:t>uofp</w:t>
      </w:r>
      <w:proofErr w:type="spellEnd"/>
      <w:r w:rsidRPr="00C302B0">
        <w:rPr>
          <w:rFonts w:ascii="Times New Roman" w:hAnsi="Times New Roman" w:cs="Times New Roman"/>
          <w:color w:val="000000"/>
          <w:sz w:val="24"/>
          <w:szCs w:val="24"/>
        </w:rPr>
        <w:t>. Relacja łącznej kwoty długu do dochodów ogółem pomniejszonych o kwoty dotacji i środków o podobnym charakterze oraz powiększone o wolne środki - stanowi 34,81%</w:t>
      </w:r>
      <w:r w:rsidRPr="00C302B0">
        <w:rPr>
          <w:rFonts w:ascii="Times New Roman" w:hAnsi="Times New Roman" w:cs="Times New Roman"/>
          <w:color w:val="FF0000"/>
          <w:sz w:val="24"/>
          <w:szCs w:val="24"/>
        </w:rPr>
        <w:t xml:space="preserve"> </w:t>
      </w:r>
      <w:r w:rsidRPr="00C302B0">
        <w:rPr>
          <w:rFonts w:ascii="Times New Roman" w:hAnsi="Times New Roman" w:cs="Times New Roman"/>
          <w:sz w:val="24"/>
          <w:szCs w:val="24"/>
        </w:rPr>
        <w:t>na maksymalny wskaźnik 60%. Spełnione są również indywidualne wskaźniki zadłużenia. Wysokość poszczególnych wskaźników określona jest w pozycjach 8.1 do 8.4.1 Załącznika Nr 1 WPF</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RELACJA ART. 242 USTAWY O FINANSACH PUBLICZNYCH</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C302B0">
        <w:rPr>
          <w:rFonts w:ascii="Times New Roman" w:hAnsi="Times New Roman" w:cs="Times New Roman"/>
          <w:sz w:val="24"/>
          <w:szCs w:val="24"/>
        </w:rPr>
        <w:t xml:space="preserve">Przy uchwalaniu budżetu, zgodnie z art. 242 </w:t>
      </w:r>
      <w:proofErr w:type="spellStart"/>
      <w:r w:rsidRPr="00C302B0">
        <w:rPr>
          <w:rFonts w:ascii="Times New Roman" w:hAnsi="Times New Roman" w:cs="Times New Roman"/>
          <w:sz w:val="24"/>
          <w:szCs w:val="24"/>
        </w:rPr>
        <w:t>uofp</w:t>
      </w:r>
      <w:proofErr w:type="spellEnd"/>
      <w:r w:rsidRPr="00C302B0">
        <w:rPr>
          <w:rFonts w:ascii="Times New Roman" w:hAnsi="Times New Roman" w:cs="Times New Roman"/>
          <w:sz w:val="24"/>
          <w:szCs w:val="24"/>
        </w:rPr>
        <w:t xml:space="preserve"> musi być zachowana relacja w zakresie: wydatki bieżące muszą być niższe niż dochody bieżące, powiększone o wolne środki.</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Budżet na 2024 rok został ustalony według niniejszej zasady i spełnienia przedmiotowej relacji. Nadwyżkę operacyjną ustalono na poziomie 596 676 zł., skorygowaną o wolne środki, co wynosi 1 899 500 zł. Finansowanie relacji art. 242 </w:t>
      </w:r>
      <w:proofErr w:type="spellStart"/>
      <w:r w:rsidRPr="00C302B0">
        <w:rPr>
          <w:rFonts w:ascii="Times New Roman" w:hAnsi="Times New Roman" w:cs="Times New Roman"/>
          <w:sz w:val="24"/>
          <w:szCs w:val="24"/>
        </w:rPr>
        <w:t>uofp</w:t>
      </w:r>
      <w:proofErr w:type="spellEnd"/>
      <w:r w:rsidRPr="00C302B0">
        <w:rPr>
          <w:rFonts w:ascii="Times New Roman" w:hAnsi="Times New Roman" w:cs="Times New Roman"/>
          <w:sz w:val="24"/>
          <w:szCs w:val="24"/>
        </w:rPr>
        <w:t xml:space="preserve"> jest dopuszczalne do 2025 roku. </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C302B0">
        <w:rPr>
          <w:rFonts w:ascii="Times New Roman" w:hAnsi="Times New Roman" w:cs="Times New Roman"/>
          <w:b/>
          <w:bCs/>
          <w:sz w:val="24"/>
          <w:szCs w:val="24"/>
        </w:rPr>
        <w:t>PORĘCZENIA I GWARANCJE:</w:t>
      </w:r>
    </w:p>
    <w:p w:rsidR="00C302B0" w:rsidRPr="00C302B0" w:rsidRDefault="00C302B0" w:rsidP="00C302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302B0">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C302B0">
        <w:rPr>
          <w:rFonts w:ascii="Times New Roman" w:hAnsi="Times New Roman" w:cs="Times New Roman"/>
          <w:sz w:val="24"/>
          <w:szCs w:val="24"/>
        </w:rPr>
        <w:t>Gmina Bobolice udzieliła następujących  poręczeń:</w:t>
      </w: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C302B0">
        <w:rPr>
          <w:rFonts w:ascii="Times New Roman" w:hAnsi="Times New Roman" w:cs="Times New Roman"/>
          <w:sz w:val="24"/>
          <w:szCs w:val="24"/>
        </w:rPr>
        <w:t xml:space="preserve">1. Spółka </w:t>
      </w:r>
      <w:proofErr w:type="spellStart"/>
      <w:r w:rsidRPr="00C302B0">
        <w:rPr>
          <w:rFonts w:ascii="Times New Roman" w:hAnsi="Times New Roman" w:cs="Times New Roman"/>
          <w:sz w:val="24"/>
          <w:szCs w:val="24"/>
        </w:rPr>
        <w:t>RWiK</w:t>
      </w:r>
      <w:proofErr w:type="spellEnd"/>
      <w:r w:rsidRPr="00C302B0">
        <w:rPr>
          <w:rFonts w:ascii="Times New Roman" w:hAnsi="Times New Roman" w:cs="Times New Roman"/>
          <w:sz w:val="24"/>
          <w:szCs w:val="24"/>
        </w:rPr>
        <w:t xml:space="preserve"> do umowy pożyczki Nr 2019P2785K z dnia 21.11.2019r. z przeznaczeniem na </w:t>
      </w:r>
      <w:r w:rsidRPr="00C302B0">
        <w:rPr>
          <w:rFonts w:ascii="Times New Roman" w:hAnsi="Times New Roman" w:cs="Times New Roman"/>
          <w:i/>
          <w:iCs/>
          <w:sz w:val="24"/>
          <w:szCs w:val="24"/>
        </w:rPr>
        <w:t>Wymianę sieci wodociągowej w miejscowości Kłanino</w:t>
      </w:r>
      <w:r w:rsidRPr="00C302B0">
        <w:rPr>
          <w:rFonts w:ascii="Times New Roman" w:hAnsi="Times New Roman" w:cs="Times New Roman"/>
          <w:sz w:val="24"/>
          <w:szCs w:val="24"/>
        </w:rPr>
        <w:t xml:space="preserve"> na okres do 15.06.2034r. </w:t>
      </w:r>
    </w:p>
    <w:p w:rsidR="00C302B0" w:rsidRPr="00C302B0" w:rsidRDefault="00C302B0" w:rsidP="00C30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sz w:val="24"/>
          <w:szCs w:val="24"/>
        </w:rPr>
      </w:pPr>
    </w:p>
    <w:p w:rsidR="00C302B0" w:rsidRPr="00C302B0" w:rsidRDefault="00C302B0" w:rsidP="00C302B0">
      <w:pPr>
        <w:widowControl w:val="0"/>
        <w:autoSpaceDE w:val="0"/>
        <w:autoSpaceDN w:val="0"/>
        <w:adjustRightInd w:val="0"/>
        <w:spacing w:after="0" w:line="240" w:lineRule="auto"/>
        <w:rPr>
          <w:rFonts w:ascii="Times New Roman" w:hAnsi="Times New Roman" w:cs="Times New Roman"/>
          <w:b/>
          <w:bCs/>
          <w:sz w:val="20"/>
          <w:szCs w:val="20"/>
        </w:rPr>
      </w:pPr>
      <w:r w:rsidRPr="00C302B0">
        <w:rPr>
          <w:rFonts w:ascii="Times New Roman" w:hAnsi="Times New Roman" w:cs="Times New Roman"/>
          <w:b/>
          <w:bCs/>
          <w:sz w:val="20"/>
          <w:szCs w:val="20"/>
        </w:rPr>
        <w:t xml:space="preserve">                                                                                                 </w:t>
      </w:r>
    </w:p>
    <w:p w:rsidR="00062070" w:rsidRDefault="00062070"/>
    <w:sectPr w:rsidR="00062070" w:rsidSect="00C74BC6">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 w:numId="3">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02B0"/>
    <w:rsid w:val="00062070"/>
    <w:rsid w:val="00C302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20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C302B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12024</Characters>
  <Application>Microsoft Office Word</Application>
  <DocSecurity>0</DocSecurity>
  <Lines>100</Lines>
  <Paragraphs>27</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cp:revision>
  <dcterms:created xsi:type="dcterms:W3CDTF">2023-12-28T15:22:00Z</dcterms:created>
  <dcterms:modified xsi:type="dcterms:W3CDTF">2023-12-28T15:23:00Z</dcterms:modified>
</cp:coreProperties>
</file>