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E77450">
        <w:rPr>
          <w:rFonts w:ascii="Times New Roman" w:hAnsi="Times New Roman" w:cs="Times New Roman"/>
          <w:b/>
          <w:bCs/>
          <w:sz w:val="20"/>
          <w:szCs w:val="20"/>
        </w:rPr>
        <w:t>ZAŁĄCZNIK NR 2</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E77450">
        <w:rPr>
          <w:rFonts w:ascii="Times New Roman" w:hAnsi="Times New Roman" w:cs="Times New Roman"/>
          <w:b/>
          <w:bCs/>
          <w:sz w:val="20"/>
          <w:szCs w:val="20"/>
        </w:rPr>
        <w:t xml:space="preserve">                                                                                                                                    DO UCHWAŁY NR LIV/469/23                                                                                                                     Z DNIA 28.09.2023 r.</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E77450">
        <w:rPr>
          <w:rFonts w:ascii="Times New Roman" w:hAnsi="Times New Roman" w:cs="Times New Roman"/>
          <w:b/>
          <w:bCs/>
          <w:sz w:val="20"/>
          <w:szCs w:val="20"/>
        </w:rPr>
        <w:t>OBJAŚNIENIA DO   ZAŁĄCZNIKA NR 1 -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E77450">
        <w:rPr>
          <w:rFonts w:ascii="Times New Roman" w:hAnsi="Times New Roman" w:cs="Times New Roman"/>
          <w:b/>
          <w:bCs/>
          <w:sz w:val="20"/>
          <w:szCs w:val="20"/>
        </w:rPr>
        <w:t xml:space="preserve">WIELOLETNIEJ PROGNOZY FINANSOWE J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E77450">
        <w:rPr>
          <w:rFonts w:ascii="Times New Roman" w:hAnsi="Times New Roman" w:cs="Times New Roman"/>
          <w:b/>
          <w:bCs/>
          <w:sz w:val="20"/>
          <w:szCs w:val="20"/>
        </w:rPr>
        <w:t>NA LATA 2023-2035  GMINY BOBOLICE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ZMIANY WPROWADZONE UCHWAŁĄ DOTYCZĄ W SZCZEGÓLNOŚCI:</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WPF- załącznik Nr 1:</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1) dokonano zmian w planie dochodów i wydatków zgodnie ze zmianą uchwały budżetowej na 2023 rok i w latach kolejnych 2024 i 2025</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2) dokonano zmian wysokości planowanego deficytu, </w:t>
      </w:r>
      <w:proofErr w:type="spellStart"/>
      <w:r w:rsidRPr="00E77450">
        <w:rPr>
          <w:rFonts w:ascii="Times New Roman" w:hAnsi="Times New Roman" w:cs="Times New Roman"/>
          <w:color w:val="000000"/>
          <w:sz w:val="24"/>
          <w:szCs w:val="24"/>
        </w:rPr>
        <w:t>tj.zmniejszono</w:t>
      </w:r>
      <w:proofErr w:type="spellEnd"/>
      <w:r w:rsidRPr="00E77450">
        <w:rPr>
          <w:rFonts w:ascii="Times New Roman" w:hAnsi="Times New Roman" w:cs="Times New Roman"/>
          <w:color w:val="000000"/>
          <w:sz w:val="24"/>
          <w:szCs w:val="24"/>
        </w:rPr>
        <w:t xml:space="preserve"> deficyt o kwotę 768 465 zł., z kwoty 1 515 528,30 zł. na planowany deficyt w wysokości 747 063,30 zł., który zostanie pokryty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a) środkami krajowymi niewykorzystanymi w 2022 roku w </w:t>
      </w:r>
      <w:proofErr w:type="spellStart"/>
      <w:r w:rsidRPr="00E77450">
        <w:rPr>
          <w:rFonts w:ascii="Times New Roman" w:hAnsi="Times New Roman" w:cs="Times New Roman"/>
          <w:color w:val="000000"/>
          <w:sz w:val="24"/>
          <w:szCs w:val="24"/>
        </w:rPr>
        <w:t>wysokosci</w:t>
      </w:r>
      <w:proofErr w:type="spellEnd"/>
      <w:r w:rsidRPr="00E77450">
        <w:rPr>
          <w:rFonts w:ascii="Times New Roman" w:hAnsi="Times New Roman" w:cs="Times New Roman"/>
          <w:color w:val="000000"/>
          <w:sz w:val="24"/>
          <w:szCs w:val="24"/>
        </w:rPr>
        <w:t xml:space="preserve"> łącznie 306 258,46 zł.</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b) środkami unijnymi, niewykorzystanymi w 2022 roku  w </w:t>
      </w:r>
      <w:proofErr w:type="spellStart"/>
      <w:r w:rsidRPr="00E77450">
        <w:rPr>
          <w:rFonts w:ascii="Times New Roman" w:hAnsi="Times New Roman" w:cs="Times New Roman"/>
          <w:color w:val="000000"/>
          <w:sz w:val="24"/>
          <w:szCs w:val="24"/>
        </w:rPr>
        <w:t>wysokosci</w:t>
      </w:r>
      <w:proofErr w:type="spellEnd"/>
      <w:r w:rsidRPr="00E77450">
        <w:rPr>
          <w:rFonts w:ascii="Times New Roman" w:hAnsi="Times New Roman" w:cs="Times New Roman"/>
          <w:color w:val="000000"/>
          <w:sz w:val="24"/>
          <w:szCs w:val="24"/>
        </w:rPr>
        <w:t xml:space="preserve"> 75 269,84 zł.</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c) przychodami </w:t>
      </w:r>
      <w:proofErr w:type="spellStart"/>
      <w:r w:rsidRPr="00E77450">
        <w:rPr>
          <w:rFonts w:ascii="Times New Roman" w:hAnsi="Times New Roman" w:cs="Times New Roman"/>
          <w:color w:val="000000"/>
          <w:sz w:val="24"/>
          <w:szCs w:val="24"/>
        </w:rPr>
        <w:t>pochądzącymi</w:t>
      </w:r>
      <w:proofErr w:type="spellEnd"/>
      <w:r w:rsidRPr="00E77450">
        <w:rPr>
          <w:rFonts w:ascii="Times New Roman" w:hAnsi="Times New Roman" w:cs="Times New Roman"/>
          <w:color w:val="000000"/>
          <w:sz w:val="24"/>
          <w:szCs w:val="24"/>
        </w:rPr>
        <w:t xml:space="preserve"> z wolnych środków, o których mowa w art. 217 ust. 2 pkt. 6 </w:t>
      </w:r>
      <w:proofErr w:type="spellStart"/>
      <w:r w:rsidRPr="00E77450">
        <w:rPr>
          <w:rFonts w:ascii="Times New Roman" w:hAnsi="Times New Roman" w:cs="Times New Roman"/>
          <w:color w:val="000000"/>
          <w:sz w:val="24"/>
          <w:szCs w:val="24"/>
        </w:rPr>
        <w:t>uofp</w:t>
      </w:r>
      <w:proofErr w:type="spellEnd"/>
      <w:r w:rsidRPr="00E77450">
        <w:rPr>
          <w:rFonts w:ascii="Times New Roman" w:hAnsi="Times New Roman" w:cs="Times New Roman"/>
          <w:color w:val="000000"/>
          <w:sz w:val="24"/>
          <w:szCs w:val="24"/>
        </w:rPr>
        <w:t xml:space="preserve"> jako nadwyżki środków pieniężnych na rachunku bieżącym </w:t>
      </w:r>
      <w:proofErr w:type="spellStart"/>
      <w:r w:rsidRPr="00E77450">
        <w:rPr>
          <w:rFonts w:ascii="Times New Roman" w:hAnsi="Times New Roman" w:cs="Times New Roman"/>
          <w:color w:val="000000"/>
          <w:sz w:val="24"/>
          <w:szCs w:val="24"/>
        </w:rPr>
        <w:t>budzętu</w:t>
      </w:r>
      <w:proofErr w:type="spellEnd"/>
      <w:r w:rsidRPr="00E77450">
        <w:rPr>
          <w:rFonts w:ascii="Times New Roman" w:hAnsi="Times New Roman" w:cs="Times New Roman"/>
          <w:color w:val="000000"/>
          <w:sz w:val="24"/>
          <w:szCs w:val="24"/>
        </w:rPr>
        <w:t xml:space="preserve"> na kwotę po zmianie           365 535 zł.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PRZEDSIĘWZIĘCIA - załącznik Nr 3:</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dokonuje się następujących zmian w załączniku Przedsięwzięć: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b/>
          <w:bCs/>
          <w:color w:val="000000"/>
          <w:sz w:val="24"/>
          <w:szCs w:val="24"/>
        </w:rPr>
        <w:t xml:space="preserve">1) Przebudowa dróg gminnych w m. Bobolice </w:t>
      </w:r>
      <w:proofErr w:type="spellStart"/>
      <w:r w:rsidRPr="00E77450">
        <w:rPr>
          <w:rFonts w:ascii="Times New Roman" w:hAnsi="Times New Roman" w:cs="Times New Roman"/>
          <w:b/>
          <w:bCs/>
          <w:color w:val="000000"/>
          <w:sz w:val="24"/>
          <w:szCs w:val="24"/>
        </w:rPr>
        <w:t>ul.:Kwiatów</w:t>
      </w:r>
      <w:proofErr w:type="spellEnd"/>
      <w:r w:rsidRPr="00E77450">
        <w:rPr>
          <w:rFonts w:ascii="Times New Roman" w:hAnsi="Times New Roman" w:cs="Times New Roman"/>
          <w:b/>
          <w:bCs/>
          <w:color w:val="000000"/>
          <w:sz w:val="24"/>
          <w:szCs w:val="24"/>
        </w:rPr>
        <w:t xml:space="preserve"> Polnych, Słowackiego i Traugutta wraz ze skrzyżowaniami - </w:t>
      </w:r>
      <w:r w:rsidRPr="00E77450">
        <w:rPr>
          <w:rFonts w:ascii="Times New Roman" w:hAnsi="Times New Roman" w:cs="Times New Roman"/>
          <w:color w:val="000000"/>
          <w:sz w:val="24"/>
          <w:szCs w:val="24"/>
        </w:rPr>
        <w:t xml:space="preserve">rozszerzenie zakresu zadania i zwiększenie wartości o kwotę 544 905,20 zł. ( dofinansowanie 517 505,20 zł. i wkład własny 27 400 zł.).  Zadanie realizowane w latach 2020-2023 na wartość po zmianie 7 112 162,88 zł. , w tym dofinansowanie ze środków Funduszu Przeciwdziałania COVID 19, - Polski Ład, Funduszu Inwestycji Strategicznych w wysokości 6 650 000 zł., Rządowego Funduszu </w:t>
      </w:r>
      <w:proofErr w:type="spellStart"/>
      <w:r w:rsidRPr="00E77450">
        <w:rPr>
          <w:rFonts w:ascii="Times New Roman" w:hAnsi="Times New Roman" w:cs="Times New Roman"/>
          <w:color w:val="000000"/>
          <w:sz w:val="24"/>
          <w:szCs w:val="24"/>
        </w:rPr>
        <w:t>Imwestycji</w:t>
      </w:r>
      <w:proofErr w:type="spellEnd"/>
      <w:r w:rsidRPr="00E77450">
        <w:rPr>
          <w:rFonts w:ascii="Times New Roman" w:hAnsi="Times New Roman" w:cs="Times New Roman"/>
          <w:color w:val="000000"/>
          <w:sz w:val="24"/>
          <w:szCs w:val="24"/>
        </w:rPr>
        <w:t xml:space="preserve"> Lokalnych             112 000 zł. , co stanowi łącznie 95,1% wartości zadania oraz środków własnych Gminy w </w:t>
      </w:r>
      <w:proofErr w:type="spellStart"/>
      <w:r w:rsidRPr="00E77450">
        <w:rPr>
          <w:rFonts w:ascii="Times New Roman" w:hAnsi="Times New Roman" w:cs="Times New Roman"/>
          <w:color w:val="000000"/>
          <w:sz w:val="24"/>
          <w:szCs w:val="24"/>
        </w:rPr>
        <w:t>wysokosci</w:t>
      </w:r>
      <w:proofErr w:type="spellEnd"/>
      <w:r w:rsidRPr="00E77450">
        <w:rPr>
          <w:rFonts w:ascii="Times New Roman" w:hAnsi="Times New Roman" w:cs="Times New Roman"/>
          <w:color w:val="000000"/>
          <w:sz w:val="24"/>
          <w:szCs w:val="24"/>
        </w:rPr>
        <w:t xml:space="preserve"> 350 162,88 zł., tj. 4,9% wartości zadania.    </w:t>
      </w:r>
      <w:r w:rsidRPr="00E77450">
        <w:rPr>
          <w:rFonts w:ascii="Times New Roman" w:hAnsi="Times New Roman" w:cs="Times New Roman"/>
          <w:b/>
          <w:bCs/>
          <w:color w:val="000000"/>
          <w:sz w:val="24"/>
          <w:szCs w:val="24"/>
        </w:rPr>
        <w:t xml:space="preserve"> </w:t>
      </w:r>
      <w:r w:rsidRPr="00E77450">
        <w:rPr>
          <w:rFonts w:ascii="Times New Roman" w:hAnsi="Times New Roman" w:cs="Times New Roman"/>
          <w:color w:val="000000"/>
          <w:sz w:val="24"/>
          <w:szCs w:val="24"/>
        </w:rPr>
        <w:t xml:space="preserve">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b/>
          <w:bCs/>
          <w:color w:val="000000"/>
          <w:sz w:val="24"/>
          <w:szCs w:val="24"/>
        </w:rPr>
        <w:t xml:space="preserve">2) Budowa Centrum Sportowego przy Stadionie Miejskim w Bobolicach - </w:t>
      </w:r>
      <w:r w:rsidRPr="00E77450">
        <w:rPr>
          <w:rFonts w:ascii="Times New Roman" w:hAnsi="Times New Roman" w:cs="Times New Roman"/>
          <w:color w:val="000000"/>
          <w:sz w:val="24"/>
          <w:szCs w:val="24"/>
        </w:rPr>
        <w:t xml:space="preserve">zwiększenie wartości zadania o koszty realizacji inwestycji na kwotę 5 100 000 zł., na lata 2024-2025, dofinansowane ze środków Funduszu Przeciwdziałania COVID 19, Rządowego Funduszu Polski Ład, Programu Inwestycji Strategicznych w wysokości 4 998 000 zł., co stanowi 98% wartości zadania i środków własnych Gminy w kwocie 102 000 zł., co stanowi 2% wartości inwestycji. Całkowita </w:t>
      </w:r>
      <w:proofErr w:type="spellStart"/>
      <w:r w:rsidRPr="00E77450">
        <w:rPr>
          <w:rFonts w:ascii="Times New Roman" w:hAnsi="Times New Roman" w:cs="Times New Roman"/>
          <w:color w:val="000000"/>
          <w:sz w:val="24"/>
          <w:szCs w:val="24"/>
        </w:rPr>
        <w:t>wartośc</w:t>
      </w:r>
      <w:proofErr w:type="spellEnd"/>
      <w:r w:rsidRPr="00E77450">
        <w:rPr>
          <w:rFonts w:ascii="Times New Roman" w:hAnsi="Times New Roman" w:cs="Times New Roman"/>
          <w:color w:val="000000"/>
          <w:sz w:val="24"/>
          <w:szCs w:val="24"/>
        </w:rPr>
        <w:t xml:space="preserve"> zadania po zmianie wynosi 5 160 000 zł. , z czego 60 000 zł. stanowi koszty </w:t>
      </w:r>
      <w:r w:rsidRPr="00E77450">
        <w:rPr>
          <w:rFonts w:ascii="Times New Roman" w:hAnsi="Times New Roman" w:cs="Times New Roman"/>
          <w:color w:val="000000"/>
          <w:sz w:val="24"/>
          <w:szCs w:val="24"/>
        </w:rPr>
        <w:lastRenderedPageBreak/>
        <w:t xml:space="preserve">opracowania kompletnej dokumentacji kosztorysowo-projektowej Centrum Sportowego, a             5 100 000 zł. szacowane koszty realizacji.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PRZYJĘTE ZAŁOŻENIA:</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Opracowanie Wieloletniej Prognozy Finansowej dla Gminy Bobolice na lata 2023-2035 oparto na bazie projektu budżetu na 2023 rok. Założono zmiany poszczególnych kategorii dochodów            i wydatków o zakres wykonywanych zadań z uwzględnieniem wprowadzanych zmian formalno-prawnych w jednostkach gminnych  oraz o prognozowane wskaźniki makroekonomiczne.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na lata 2023-2026. W kolejnych latach przyjęto wskaźnik dla wydatków bieżących na poziomie stałym1% z uwagi na ich optymalizację w tym okresie poprzez działania , inwestycje obniżające koszty funkcjonowania jednostek. Dane przedstawia poniższa tabela:</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80"/>
        <w:gridCol w:w="585"/>
        <w:gridCol w:w="675"/>
        <w:gridCol w:w="660"/>
        <w:gridCol w:w="615"/>
        <w:gridCol w:w="630"/>
        <w:gridCol w:w="555"/>
        <w:gridCol w:w="615"/>
        <w:gridCol w:w="570"/>
        <w:gridCol w:w="660"/>
        <w:gridCol w:w="551"/>
      </w:tblGrid>
      <w:tr w:rsidR="00E77450" w:rsidRPr="00E77450">
        <w:tc>
          <w:tcPr>
            <w:tcW w:w="180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WYSZCZEGÓLNIENIE</w:t>
            </w:r>
          </w:p>
        </w:tc>
        <w:tc>
          <w:tcPr>
            <w:tcW w:w="4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2024</w:t>
            </w:r>
          </w:p>
        </w:tc>
        <w:tc>
          <w:tcPr>
            <w:tcW w:w="48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2025</w:t>
            </w:r>
          </w:p>
        </w:tc>
        <w:tc>
          <w:tcPr>
            <w:tcW w:w="58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2026</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2027</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2028</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2029</w:t>
            </w:r>
          </w:p>
        </w:tc>
        <w:tc>
          <w:tcPr>
            <w:tcW w:w="63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2030</w:t>
            </w:r>
          </w:p>
        </w:tc>
        <w:tc>
          <w:tcPr>
            <w:tcW w:w="55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2031</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2032</w:t>
            </w:r>
          </w:p>
        </w:tc>
        <w:tc>
          <w:tcPr>
            <w:tcW w:w="5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2033</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2034</w:t>
            </w:r>
          </w:p>
        </w:tc>
        <w:tc>
          <w:tcPr>
            <w:tcW w:w="551"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2035</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E77450" w:rsidRPr="00E77450">
        <w:tc>
          <w:tcPr>
            <w:tcW w:w="180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wzrost gospodarczy (dynamika /</w:t>
            </w:r>
            <w:proofErr w:type="spellStart"/>
            <w:r w:rsidRPr="00E77450">
              <w:rPr>
                <w:rFonts w:ascii="Times New Roman" w:hAnsi="Times New Roman" w:cs="Times New Roman"/>
                <w:color w:val="000000"/>
                <w:sz w:val="20"/>
                <w:szCs w:val="20"/>
              </w:rPr>
              <w:t>deflator</w:t>
            </w:r>
            <w:proofErr w:type="spellEnd"/>
            <w:r w:rsidRPr="00E77450">
              <w:rPr>
                <w:rFonts w:ascii="Times New Roman" w:hAnsi="Times New Roman" w:cs="Times New Roman"/>
                <w:color w:val="000000"/>
                <w:sz w:val="20"/>
                <w:szCs w:val="20"/>
              </w:rPr>
              <w:t xml:space="preserve"> PKB)</w:t>
            </w:r>
          </w:p>
        </w:tc>
        <w:tc>
          <w:tcPr>
            <w:tcW w:w="4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4,6</w:t>
            </w:r>
          </w:p>
        </w:tc>
        <w:tc>
          <w:tcPr>
            <w:tcW w:w="48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3,3</w:t>
            </w:r>
          </w:p>
        </w:tc>
        <w:tc>
          <w:tcPr>
            <w:tcW w:w="58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2,7</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2,7</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63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55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5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c>
          <w:tcPr>
            <w:tcW w:w="551"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1,0</w:t>
            </w:r>
          </w:p>
        </w:tc>
      </w:tr>
    </w:tbl>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DOCHODY</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 wieloletniej prognozie finansowej na lata 2023 - 2035 przyjęto wzrost ogólnych kwot dochodów.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 xml:space="preserve">Dochody bieżące: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Uwzględniono zmniejszone  dochody o wycofane dotacje na świadczenia wychowawcze i zmniejszone udziały w PIT. Uwzględniono dochody z udziałem środków UE i dofinansowaniem zewnętrzny oraz wzrost dochodów własnych z tytułu powstania nowych nieruchomości na terenie gminy  w  powstałej strefie inwestycyjnej.</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b/>
          <w:bCs/>
          <w:color w:val="000000"/>
          <w:sz w:val="24"/>
          <w:szCs w:val="24"/>
        </w:rPr>
        <w:t>Dochody z podatku od nieruchomości:</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Planuje się wartość dochodów w 2023 roku powiększoną o wskaźnik inflacji do planowanego wykonania za 2022 rok, tj. o ok. 11,5%.  W latach kolejnych 2024-2025 </w:t>
      </w:r>
      <w:proofErr w:type="spellStart"/>
      <w:r w:rsidRPr="00E77450">
        <w:rPr>
          <w:rFonts w:ascii="Times New Roman" w:hAnsi="Times New Roman" w:cs="Times New Roman"/>
          <w:color w:val="000000"/>
          <w:sz w:val="24"/>
          <w:szCs w:val="24"/>
        </w:rPr>
        <w:t>ostrożnościowo</w:t>
      </w:r>
      <w:proofErr w:type="spellEnd"/>
      <w:r w:rsidRPr="00E77450">
        <w:rPr>
          <w:rFonts w:ascii="Times New Roman" w:hAnsi="Times New Roman" w:cs="Times New Roman"/>
          <w:color w:val="000000"/>
          <w:sz w:val="24"/>
          <w:szCs w:val="24"/>
        </w:rPr>
        <w:t xml:space="preserve">  zaplanowano wzrost dochodów z tego tytułu tylko o 1,3%. W latach 2026-2035 wskaźnik </w:t>
      </w:r>
      <w:r w:rsidRPr="00E77450">
        <w:rPr>
          <w:rFonts w:ascii="Times New Roman" w:hAnsi="Times New Roman" w:cs="Times New Roman"/>
          <w:color w:val="000000"/>
          <w:sz w:val="24"/>
          <w:szCs w:val="24"/>
        </w:rPr>
        <w:lastRenderedPageBreak/>
        <w:t xml:space="preserve">wzrostu dochodów zaplanowano na poziomie 1%. Uwzględniono w prognozie wzrost z tytułu powstania na terenie gminy farm wiatrowych i fotowoltaicznych, inwestycji na strefie inwestycyjnej, ale   także możliwość korzystania przez przedsiębiorców z ulg podatku w zakresie pomocy regionalnej i de mini mis.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Udziały w podatku dochodowym od osób fizycznych:</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Wartość planowanych udziałów w podatku dochodowym od osób fizycznych w 2023 roku ujęta jest na podstawie Zawiadomienia Ministra Finansów. W kolejnych okresach w  założeniach na lata 2025 -2026 przyjęto planowany wzrost poziomu wynagrodzeń, w tym płacy minimalnej oraz zatrudnienia w gospodarce narodowej z uwzględnieniem spadku bezrobocia w gminie. Wskaźnik wzrostu na lata 2025-2026  oparto o wskaźniki makroekonomiczne, wg dynamiki wzrostu PKB, natomiast od 2027-2035 o wskaźnik wzrostu na poziomie 1%.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Udziały w podatku dochodowym od osób prawnych:</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Wartość planowanych udziałów na 2023 rok ujęto według zawiadomienia Ministra Finansów. Wzrost dochodów zaplanowano z uwagi na specyfikę gospodarczą gminy oraz oddanie nowych terenów inwestycyjnych w 2024 roku o 3,5%, a w latach 2025-2026  o przewidywany wskaźnik dynamiki  wzrostu PKB 3,3% i 2,7%, natomiast w  kolejnych  latach prognozy 2027-2035 na poziomie 1% wzrostu.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Subwencja ogólna:</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Wartość planowanych dochodów w 2023 roku z tytułu subwencji ogólnej przyjęto według zawiadomienia Ministra Finansów. W prognozie zaplanowano od 2024 roku do 2026 roku wzrost dochodów z tego tytułu o wskaźnik w wysokości 3,5%, natomiast od 2027 -2035  roku                  o wskaźnik  1,5%.</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b/>
          <w:bCs/>
          <w:color w:val="000000"/>
          <w:sz w:val="24"/>
          <w:szCs w:val="24"/>
        </w:rPr>
        <w:t>Dotacje i środki otrzymane na zadania własne i zlecone: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Pozycje dochodów na 2023 rok ujęto wg zawiadomień. Prognoza na 2023 rok i kolejne lata  uwzględnia wycofanie dochodów z tytułu dotacji celowej na świadczenia wychowawcze w porównaniu do wykonania z lat ubiegłych  Przyjęto w założeniach  w latach 2024 -2026  wzrost o 3,5% planowanych dochodów z tego tytułu, w kolejnych  latach prognozy 2027-2035 o 2% wzrostu dochodów  z tego tytułu.</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Pozostałe dochody bieżące: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latach 2024-2026 o 3,5% z uwagi zwiększone wpływy z planowanych dochodów własnych, w tym z tytułu zwiększonych dzierżaw, opłaty za gospodarowanie odpadami komunalnymi. W 2027 roku na poziomie 2,7%. a w </w:t>
      </w:r>
      <w:proofErr w:type="spellStart"/>
      <w:r w:rsidRPr="00E77450">
        <w:rPr>
          <w:rFonts w:ascii="Times New Roman" w:hAnsi="Times New Roman" w:cs="Times New Roman"/>
          <w:color w:val="000000"/>
          <w:sz w:val="24"/>
          <w:szCs w:val="24"/>
        </w:rPr>
        <w:t>w</w:t>
      </w:r>
      <w:proofErr w:type="spellEnd"/>
      <w:r w:rsidRPr="00E77450">
        <w:rPr>
          <w:rFonts w:ascii="Times New Roman" w:hAnsi="Times New Roman" w:cs="Times New Roman"/>
          <w:color w:val="000000"/>
          <w:sz w:val="24"/>
          <w:szCs w:val="24"/>
        </w:rPr>
        <w:t xml:space="preserve"> kolejnych latach 2028-2035 na stałym poziomie  1%.</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 xml:space="preserve">    7. Dochody majątkowe: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Dochody w latach 2023-2024 zwiększono o planowane przedsięwzięcia z udziałem środków i dofinansowaniem zewnętrznym. Ponadto w 2023 roku zwiększono również sprzedaż mienia z tytułu planowanej sprzedaży działek na strefie inwestycyjnej  lub innych pod inwestycje.  Od 2024-2026 ustalono dochody na stałym poziomie, bez wskaźnika wzrostu, bez planowanych </w:t>
      </w:r>
      <w:r w:rsidRPr="00E77450">
        <w:rPr>
          <w:rFonts w:ascii="Times New Roman" w:hAnsi="Times New Roman" w:cs="Times New Roman"/>
          <w:color w:val="000000"/>
          <w:sz w:val="24"/>
          <w:szCs w:val="24"/>
        </w:rPr>
        <w:lastRenderedPageBreak/>
        <w:t xml:space="preserve">dofinansowań zewnętrznych, w oparciu o przewidywane wpływy ze sprzedaży mienia w tym okresie, uznając, że planowanie wzrostu  obarczone jest  dużym ryzykiem błędu, w tym ze sprzedaży majątku w wysokości 400 000 zł. i w latach kolejnych 2027-2035 w wysokości        260 000 zł.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E77450">
        <w:rPr>
          <w:rFonts w:ascii="Times New Roman" w:hAnsi="Times New Roman" w:cs="Times New Roman"/>
          <w:color w:val="000000"/>
          <w:sz w:val="24"/>
          <w:szCs w:val="24"/>
        </w:rPr>
        <w:t>Dochody z tytułu dotacji i środków otrzymanych ujmuje się łącznie z czwartą cyfrą "0,1,2,7,8,9".</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WYDATKI:</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Wydatki ogółem zaplanowano z uwzględnieniem wskaźnika wzrostu.  Wskaźnik wzrostu dla wydatków bieżących w 2026 roku  zaplanowano w porównaniu do 2023 roku o 3,2% wzrostu, w 2027 roku  o 2,7% wzrostu, a w kolejnych latach prognozy, tj. w latach 2028-2035 o 1%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Wydatki na wynagrodzenia wraz z pochodnymi ustalono w 2024 roku  na poziomie wzrostu 1,8% a od 2025 roku o 0,9% wzrostu przez cały okres prognozy. Pozycja wynagrodzenia i pochodne od nich dotyczy  wydatków   z czwartą cyfrą "0".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PRZEDSIĘWZIĘCIA:</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 xml:space="preserve">W ramach </w:t>
      </w:r>
      <w:r w:rsidRPr="00E77450">
        <w:rPr>
          <w:rFonts w:ascii="Times New Roman" w:hAnsi="Times New Roman" w:cs="Times New Roman"/>
          <w:b/>
          <w:bCs/>
          <w:color w:val="000000"/>
          <w:sz w:val="24"/>
          <w:szCs w:val="24"/>
        </w:rPr>
        <w:t xml:space="preserve">przedsięwzięć </w:t>
      </w:r>
      <w:r w:rsidRPr="00E77450">
        <w:rPr>
          <w:rFonts w:ascii="Times New Roman" w:hAnsi="Times New Roman" w:cs="Times New Roman"/>
          <w:color w:val="000000"/>
          <w:sz w:val="24"/>
          <w:szCs w:val="24"/>
        </w:rPr>
        <w:t>wykazanych w załączniku nr 3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E77450">
        <w:rPr>
          <w:rFonts w:ascii="Times New Roman" w:hAnsi="Times New Roman" w:cs="Times New Roman"/>
          <w:b/>
          <w:bCs/>
          <w:color w:val="000000"/>
          <w:sz w:val="24"/>
          <w:szCs w:val="24"/>
        </w:rPr>
        <w:t>PRZYCHODY:</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E77450">
        <w:rPr>
          <w:rFonts w:ascii="Times New Roman" w:hAnsi="Times New Roman" w:cs="Times New Roman"/>
          <w:color w:val="000000"/>
          <w:sz w:val="24"/>
          <w:szCs w:val="24"/>
        </w:rPr>
        <w:t>W 2023 roku ujęte są przychody po zmianie uchwały w wysokości łącznie</w:t>
      </w:r>
      <w:r w:rsidRPr="00E77450">
        <w:rPr>
          <w:rFonts w:ascii="Times New Roman" w:hAnsi="Times New Roman" w:cs="Times New Roman"/>
          <w:b/>
          <w:bCs/>
          <w:color w:val="000000"/>
          <w:sz w:val="24"/>
          <w:szCs w:val="24"/>
        </w:rPr>
        <w:t xml:space="preserve"> 2 493 946,32 zł.</w:t>
      </w:r>
      <w:r w:rsidRPr="00E77450">
        <w:rPr>
          <w:rFonts w:ascii="Times New Roman" w:hAnsi="Times New Roman" w:cs="Times New Roman"/>
          <w:color w:val="000000"/>
          <w:sz w:val="24"/>
          <w:szCs w:val="24"/>
        </w:rPr>
        <w:t xml:space="preserve">, w tym z tytułu wolnych środków. o których mowa w art. 217 ust. 2 pkt. 6 </w:t>
      </w:r>
      <w:proofErr w:type="spellStart"/>
      <w:r w:rsidRPr="00E77450">
        <w:rPr>
          <w:rFonts w:ascii="Times New Roman" w:hAnsi="Times New Roman" w:cs="Times New Roman"/>
          <w:color w:val="000000"/>
          <w:sz w:val="24"/>
          <w:szCs w:val="24"/>
        </w:rPr>
        <w:t>uopf</w:t>
      </w:r>
      <w:proofErr w:type="spellEnd"/>
      <w:r w:rsidRPr="00E77450">
        <w:rPr>
          <w:rFonts w:ascii="Times New Roman" w:hAnsi="Times New Roman" w:cs="Times New Roman"/>
          <w:color w:val="000000"/>
          <w:sz w:val="24"/>
          <w:szCs w:val="24"/>
        </w:rPr>
        <w:t xml:space="preserve">. jako nadwyżki środków pieniężnych na rachunku bieżącym budżetu, w tym wynikających z rozliczeń wyemitowanych w ubiegłych latach obligacji komunalnych i kredytów na kwotę </w:t>
      </w:r>
      <w:r w:rsidRPr="00E77450">
        <w:rPr>
          <w:rFonts w:ascii="Times New Roman" w:hAnsi="Times New Roman" w:cs="Times New Roman"/>
          <w:b/>
          <w:bCs/>
          <w:color w:val="000000"/>
          <w:sz w:val="24"/>
          <w:szCs w:val="24"/>
        </w:rPr>
        <w:t>2 112 418,02 zł.</w:t>
      </w:r>
      <w:r w:rsidRPr="00E77450">
        <w:rPr>
          <w:rFonts w:ascii="Times New Roman" w:hAnsi="Times New Roman" w:cs="Times New Roman"/>
          <w:color w:val="000000"/>
          <w:sz w:val="24"/>
          <w:szCs w:val="24"/>
        </w:rPr>
        <w:t xml:space="preserve"> oraz niewykorzystanych środków krajowych i unijnych na rachunku bieżącym budżetu za 2022 rok na kwotę łącznie </w:t>
      </w:r>
      <w:r w:rsidRPr="00E77450">
        <w:rPr>
          <w:rFonts w:ascii="Times New Roman" w:hAnsi="Times New Roman" w:cs="Times New Roman"/>
          <w:b/>
          <w:bCs/>
          <w:color w:val="000000"/>
          <w:sz w:val="24"/>
          <w:szCs w:val="24"/>
        </w:rPr>
        <w:t>381 528,30 zł.</w:t>
      </w:r>
      <w:r w:rsidRPr="00E77450">
        <w:rPr>
          <w:rFonts w:ascii="Times New Roman" w:hAnsi="Times New Roman" w:cs="Times New Roman"/>
          <w:color w:val="000000"/>
          <w:sz w:val="24"/>
          <w:szCs w:val="24"/>
        </w:rPr>
        <w:t xml:space="preserve">  Wolne środki w planowanej wysokości nie zostały wykorzystane do końca 2022 roku. </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b/>
          <w:bCs/>
          <w:color w:val="000000"/>
          <w:sz w:val="24"/>
          <w:szCs w:val="24"/>
        </w:rPr>
        <w:t>ROZCHODY</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4"/>
          <w:szCs w:val="24"/>
        </w:rPr>
        <w:lastRenderedPageBreak/>
        <w:t xml:space="preserve">W pozycji rozchodów na wartość ogółem 1 746 883,02 zł. ujęto zobowiązania już zaciągnięte, związane z emisją obligacji oraz kredytem na kwotę 1 730 000 zł.,  przedstawione szczegółowo poniżej: </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color w:val="000000"/>
          <w:sz w:val="24"/>
          <w:szCs w:val="24"/>
        </w:rPr>
        <w:t>Harmonogram spłaty zaciągniętych zobowiązań (</w:t>
      </w:r>
      <w:r w:rsidRPr="00E77450">
        <w:rPr>
          <w:rFonts w:ascii="Times New Roman" w:hAnsi="Times New Roman" w:cs="Times New Roman"/>
          <w:i/>
          <w:iCs/>
          <w:color w:val="000000"/>
          <w:sz w:val="24"/>
          <w:szCs w:val="24"/>
        </w:rPr>
        <w:t xml:space="preserve">w </w:t>
      </w:r>
      <w:proofErr w:type="spellStart"/>
      <w:r w:rsidRPr="00E77450">
        <w:rPr>
          <w:rFonts w:ascii="Times New Roman" w:hAnsi="Times New Roman" w:cs="Times New Roman"/>
          <w:i/>
          <w:iCs/>
          <w:color w:val="000000"/>
          <w:sz w:val="24"/>
          <w:szCs w:val="24"/>
        </w:rPr>
        <w:t>tys</w:t>
      </w:r>
      <w:proofErr w:type="spellEnd"/>
      <w:r w:rsidRPr="00E77450">
        <w:rPr>
          <w:rFonts w:ascii="Times New Roman" w:hAnsi="Times New Roman" w:cs="Times New Roman"/>
          <w:i/>
          <w:iCs/>
          <w:color w:val="000000"/>
          <w:sz w:val="24"/>
          <w:szCs w:val="24"/>
        </w:rPr>
        <w:t xml:space="preserve"> zł</w:t>
      </w:r>
      <w:r w:rsidRPr="00E77450">
        <w:rPr>
          <w:rFonts w:ascii="Times New Roman" w:hAnsi="Times New Roman" w:cs="Times New Roman"/>
          <w:color w:val="000000"/>
          <w:sz w:val="24"/>
          <w:szCs w:val="24"/>
        </w:rPr>
        <w:t xml:space="preserve">.) </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E77450" w:rsidRPr="00E77450">
        <w:tc>
          <w:tcPr>
            <w:tcW w:w="533"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E77450">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2026</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E77450" w:rsidRPr="00E77450">
        <w:tc>
          <w:tcPr>
            <w:tcW w:w="533"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E77450">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650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1 000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r>
      <w:tr w:rsidR="00E77450" w:rsidRPr="00E77450">
        <w:tc>
          <w:tcPr>
            <w:tcW w:w="533"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E77450">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300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r>
      <w:tr w:rsidR="00E77450" w:rsidRPr="00E77450">
        <w:tc>
          <w:tcPr>
            <w:tcW w:w="533"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3</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KREDYT NA 720 zł na pokrycie deficytu - dotacje celową dla Powiatu na I etap przebudowy i remontu drogi powiatowej Świelino-Dargiń Grzybnica</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250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250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250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180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250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180</w:t>
            </w:r>
          </w:p>
        </w:tc>
      </w:tr>
      <w:tr w:rsidR="00E77450" w:rsidRPr="00E77450">
        <w:tc>
          <w:tcPr>
            <w:tcW w:w="533"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shd w:val="clear" w:color="auto" w:fill="00FFFF"/>
              </w:rPr>
              <w:t>1 730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1 520</w:t>
            </w:r>
          </w:p>
        </w:tc>
      </w:tr>
    </w:tbl>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E77450">
        <w:rPr>
          <w:rFonts w:ascii="Times New Roman" w:hAnsi="Times New Roman" w:cs="Times New Roman"/>
          <w:color w:val="000000"/>
          <w:sz w:val="20"/>
          <w:szCs w:val="20"/>
        </w:rPr>
        <w:t>cd</w:t>
      </w:r>
      <w:proofErr w:type="spellEnd"/>
      <w:r w:rsidRPr="00E77450">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E77450" w:rsidRPr="00E77450">
        <w:tc>
          <w:tcPr>
            <w:tcW w:w="578"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E77450">
              <w:rPr>
                <w:rFonts w:ascii="Times New Roman" w:hAnsi="Times New Roman" w:cs="Times New Roman"/>
                <w:b/>
                <w:bCs/>
                <w:color w:val="000000"/>
                <w:sz w:val="20"/>
                <w:szCs w:val="20"/>
              </w:rPr>
              <w:t>2035</w:t>
            </w:r>
          </w:p>
        </w:tc>
      </w:tr>
      <w:tr w:rsidR="00E77450" w:rsidRPr="00E77450">
        <w:tc>
          <w:tcPr>
            <w:tcW w:w="57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E77450">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r>
      <w:tr w:rsidR="00E77450" w:rsidRPr="00E77450">
        <w:tc>
          <w:tcPr>
            <w:tcW w:w="57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E77450">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r>
      <w:tr w:rsidR="00E77450" w:rsidRPr="00E77450">
        <w:tc>
          <w:tcPr>
            <w:tcW w:w="57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3</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KREDYT NA 1 000 zł na pokrycie deficytu - dotację celową dla Powiatu</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 xml:space="preserve">KREDYT na 720 </w:t>
            </w:r>
            <w:proofErr w:type="spellStart"/>
            <w:r w:rsidRPr="00E77450">
              <w:rPr>
                <w:rFonts w:ascii="Times New Roman" w:hAnsi="Times New Roman" w:cs="Times New Roman"/>
                <w:color w:val="000000"/>
                <w:sz w:val="20"/>
                <w:szCs w:val="20"/>
              </w:rPr>
              <w:t>tys</w:t>
            </w:r>
            <w:proofErr w:type="spellEnd"/>
            <w:r w:rsidRPr="00E77450">
              <w:rPr>
                <w:rFonts w:ascii="Times New Roman" w:hAnsi="Times New Roman" w:cs="Times New Roman"/>
                <w:color w:val="000000"/>
                <w:sz w:val="20"/>
                <w:szCs w:val="20"/>
              </w:rPr>
              <w:t xml:space="preserve"> zł. na pokrycie deficytu - dotacje celową dla </w:t>
            </w:r>
            <w:r w:rsidRPr="00E77450">
              <w:rPr>
                <w:rFonts w:ascii="Times New Roman" w:hAnsi="Times New Roman" w:cs="Times New Roman"/>
                <w:color w:val="000000"/>
                <w:sz w:val="20"/>
                <w:szCs w:val="20"/>
              </w:rPr>
              <w:lastRenderedPageBreak/>
              <w:t>Powiatu na I etap przebudowy i remontu drogi powiatowej Świelino-Dargiń- Grzybnica</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lastRenderedPageBreak/>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0</w:t>
            </w:r>
          </w:p>
        </w:tc>
      </w:tr>
      <w:tr w:rsidR="00E77450" w:rsidRPr="00E77450">
        <w:tc>
          <w:tcPr>
            <w:tcW w:w="578"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E77450">
              <w:rPr>
                <w:rFonts w:ascii="Times New Roman" w:hAnsi="Times New Roman" w:cs="Times New Roman"/>
                <w:color w:val="000000"/>
                <w:sz w:val="20"/>
                <w:szCs w:val="20"/>
              </w:rPr>
              <w:t>1 340</w:t>
            </w:r>
          </w:p>
        </w:tc>
      </w:tr>
    </w:tbl>
    <w:p w:rsidR="00E77450" w:rsidRPr="00E77450" w:rsidRDefault="00E77450" w:rsidP="00E7745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E77450">
        <w:rPr>
          <w:rFonts w:ascii="Times New Roman" w:hAnsi="Times New Roman" w:cs="Times New Roman"/>
          <w:sz w:val="24"/>
          <w:szCs w:val="24"/>
        </w:rPr>
        <w:t xml:space="preserve">Ponadto w rozchodach </w:t>
      </w:r>
      <w:r w:rsidRPr="00E77450">
        <w:rPr>
          <w:rFonts w:ascii="Times New Roman" w:hAnsi="Times New Roman" w:cs="Times New Roman"/>
          <w:b/>
          <w:bCs/>
          <w:sz w:val="24"/>
          <w:szCs w:val="24"/>
        </w:rPr>
        <w:t>zaplanowano udzielenie pożyczki na wartość 16 883,02 zł.</w:t>
      </w:r>
      <w:r w:rsidRPr="00E77450">
        <w:rPr>
          <w:rFonts w:ascii="Times New Roman" w:hAnsi="Times New Roman" w:cs="Times New Roman"/>
          <w:sz w:val="24"/>
          <w:szCs w:val="24"/>
        </w:rPr>
        <w:t xml:space="preserve"> dla jednostki OSP Kłanino na wartość częściowego dofinansowania do projektu z udziałem środków UE pod nazwą </w:t>
      </w:r>
      <w:r w:rsidRPr="00E77450">
        <w:rPr>
          <w:rFonts w:ascii="Times New Roman" w:hAnsi="Times New Roman" w:cs="Times New Roman"/>
          <w:i/>
          <w:iCs/>
          <w:sz w:val="24"/>
          <w:szCs w:val="24"/>
        </w:rPr>
        <w:t>Zakup umundurowania i wyposażenia dla Ochotniczej Straży Pożarnej w Kłaninie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E77450">
        <w:rPr>
          <w:rFonts w:ascii="Times New Roman" w:hAnsi="Times New Roman" w:cs="Times New Roman"/>
          <w:b/>
          <w:bCs/>
          <w:sz w:val="28"/>
          <w:szCs w:val="28"/>
        </w:rPr>
        <w:t>POZ. 9.4 RÓŻNICA MIĘDZY WPF / PRZEDSIĘWZIĘCIAMI                                A BUDŻETEM</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Pozycja 9.4 jest niezgodna z pozycją 1.1 Wykazu przedsięwzięć o kwotę </w:t>
      </w:r>
      <w:r w:rsidRPr="00E77450">
        <w:rPr>
          <w:rFonts w:ascii="Times New Roman" w:hAnsi="Times New Roman" w:cs="Times New Roman"/>
          <w:b/>
          <w:bCs/>
          <w:sz w:val="24"/>
          <w:szCs w:val="24"/>
        </w:rPr>
        <w:t>20 201,59 zł</w:t>
      </w:r>
      <w:r w:rsidRPr="00E77450">
        <w:rPr>
          <w:rFonts w:ascii="Times New Roman" w:hAnsi="Times New Roman" w:cs="Times New Roman"/>
          <w:sz w:val="24"/>
          <w:szCs w:val="24"/>
        </w:rPr>
        <w:t>. , w tym z tytułu:</w:t>
      </w:r>
    </w:p>
    <w:p w:rsidR="00E77450" w:rsidRPr="00E77450" w:rsidRDefault="00E77450" w:rsidP="00E77450">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Braku ujęcia w przedsięwzięciach, w poz. 1.1, z uwagi na jednoroczny charakter dotacji na wkład własny do projektu z udziałem środków UE dla OSP Kłanino na kwotę - 4 852,64 zł. </w:t>
      </w:r>
    </w:p>
    <w:p w:rsidR="00E77450" w:rsidRPr="00E77450" w:rsidRDefault="00E77450" w:rsidP="00E77450">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Wydatków niekwalifikowanych projektu z udziałem środków UE pod nazwą </w:t>
      </w:r>
      <w:r w:rsidRPr="00E77450">
        <w:rPr>
          <w:rFonts w:ascii="Times New Roman" w:hAnsi="Times New Roman" w:cs="Times New Roman"/>
          <w:i/>
          <w:iCs/>
          <w:sz w:val="24"/>
          <w:szCs w:val="24"/>
        </w:rPr>
        <w:t xml:space="preserve">Likwidacja barier w budynku Urzędu Miejskiego w Bobolicach... </w:t>
      </w:r>
      <w:r w:rsidRPr="00E77450">
        <w:rPr>
          <w:rFonts w:ascii="Times New Roman" w:hAnsi="Times New Roman" w:cs="Times New Roman"/>
          <w:sz w:val="24"/>
          <w:szCs w:val="24"/>
        </w:rPr>
        <w:t xml:space="preserve">na kwotę                +21 054,23 zł. </w:t>
      </w:r>
    </w:p>
    <w:p w:rsidR="00E77450" w:rsidRPr="00E77450" w:rsidRDefault="00E77450" w:rsidP="00E77450">
      <w:pPr>
        <w:numPr>
          <w:ilvl w:val="1"/>
          <w:numId w:val="2"/>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E77450">
        <w:rPr>
          <w:rFonts w:ascii="Times New Roman" w:hAnsi="Times New Roman" w:cs="Times New Roman"/>
          <w:b/>
          <w:bCs/>
          <w:sz w:val="24"/>
          <w:szCs w:val="24"/>
        </w:rPr>
        <w:t xml:space="preserve">Wydatków niekwalifikowanych projektu z udziałem środków UE PROW pod nazwą </w:t>
      </w:r>
      <w:r w:rsidRPr="00E77450">
        <w:rPr>
          <w:rFonts w:ascii="Times New Roman" w:hAnsi="Times New Roman" w:cs="Times New Roman"/>
          <w:b/>
          <w:bCs/>
          <w:i/>
          <w:iCs/>
          <w:sz w:val="24"/>
          <w:szCs w:val="24"/>
        </w:rPr>
        <w:t>Rewitalizacja Parku Miejskiego na Skarpie w Bobolicach</w:t>
      </w:r>
      <w:r w:rsidRPr="00E77450">
        <w:rPr>
          <w:rFonts w:ascii="Times New Roman" w:hAnsi="Times New Roman" w:cs="Times New Roman"/>
          <w:b/>
          <w:bCs/>
          <w:sz w:val="24"/>
          <w:szCs w:val="24"/>
        </w:rPr>
        <w:t xml:space="preserve"> na kwotę            +4 000 zł.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E77450">
        <w:rPr>
          <w:rFonts w:ascii="Times New Roman" w:hAnsi="Times New Roman" w:cs="Times New Roman"/>
          <w:b/>
          <w:bCs/>
          <w:sz w:val="28"/>
          <w:szCs w:val="28"/>
        </w:rPr>
        <w:t>Wynik budżetu</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Pozycja Wynik budżetu jest różnicą pomiędzy pozycjami I „Dochody” a pozycją II „Wydatki”.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E77450">
        <w:rPr>
          <w:rFonts w:ascii="Times New Roman" w:hAnsi="Times New Roman" w:cs="Times New Roman"/>
          <w:sz w:val="24"/>
          <w:szCs w:val="24"/>
        </w:rPr>
        <w:t xml:space="preserve">W latach 2024-2035  planuje się nadwyżki budżetowe w wysokości równej spłacie </w:t>
      </w:r>
      <w:r w:rsidRPr="00E77450">
        <w:rPr>
          <w:rFonts w:ascii="Times New Roman" w:hAnsi="Times New Roman" w:cs="Times New Roman"/>
          <w:color w:val="000000"/>
          <w:sz w:val="24"/>
          <w:szCs w:val="24"/>
        </w:rPr>
        <w:t xml:space="preserve">prognozowanych rat, wg zasady równoważenia budżetu.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E77450">
        <w:rPr>
          <w:rFonts w:ascii="Times New Roman" w:hAnsi="Times New Roman" w:cs="Times New Roman"/>
          <w:b/>
          <w:bCs/>
          <w:color w:val="000000"/>
          <w:sz w:val="24"/>
          <w:szCs w:val="24"/>
        </w:rPr>
        <w:t xml:space="preserve">W 2023 roku zaplanowano deficyt budżetowy w wysokości - 747 063,30 zł., </w:t>
      </w:r>
      <w:r w:rsidRPr="00E77450">
        <w:rPr>
          <w:rFonts w:ascii="Times New Roman" w:hAnsi="Times New Roman" w:cs="Times New Roman"/>
          <w:color w:val="000000"/>
          <w:sz w:val="24"/>
          <w:szCs w:val="24"/>
        </w:rPr>
        <w:t xml:space="preserve">który zostanie pokryty przychodami pochodzącymi z wolnych środków, o których mowa w art. 217 ust. 2 pkt. 6 </w:t>
      </w:r>
      <w:proofErr w:type="spellStart"/>
      <w:r w:rsidRPr="00E77450">
        <w:rPr>
          <w:rFonts w:ascii="Times New Roman" w:hAnsi="Times New Roman" w:cs="Times New Roman"/>
          <w:color w:val="000000"/>
          <w:sz w:val="24"/>
          <w:szCs w:val="24"/>
        </w:rPr>
        <w:t>uofp</w:t>
      </w:r>
      <w:proofErr w:type="spellEnd"/>
      <w:r w:rsidRPr="00E77450">
        <w:rPr>
          <w:rFonts w:ascii="Times New Roman" w:hAnsi="Times New Roman" w:cs="Times New Roman"/>
          <w:color w:val="000000"/>
          <w:sz w:val="24"/>
          <w:szCs w:val="24"/>
        </w:rPr>
        <w:t>, jako nadwyżki środków pieniężnych na rachunku bieżącym  budżetu Gminy, w tym wynikających z rozliczeń wyemitowanych papierów wartościowych i kredytów z lat ubiegłych oraz niewykorzystanych środków pieniężnych na rachunku bieżącym budżetu krajowych, wynikających z rozliczenia dochodów i wydatków nimi finansowanych związanych ze szczególnymi zasadami wykonywania budżetu, określonymi w odrębnych ustawach i środków unijnych, tj. :</w:t>
      </w:r>
    </w:p>
    <w:p w:rsidR="00E77450" w:rsidRPr="00E77450" w:rsidRDefault="00E77450" w:rsidP="00E7745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E77450">
        <w:rPr>
          <w:rFonts w:ascii="Times New Roman" w:hAnsi="Times New Roman" w:cs="Times New Roman"/>
          <w:b/>
          <w:bCs/>
          <w:sz w:val="24"/>
          <w:szCs w:val="24"/>
        </w:rPr>
        <w:t>środkami krajowymi, niewykorzystanymi w 2022 roku w wysokości łącznie 306 258,46 zł.,      w tym:</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Środki z Funduszu Przeciwdziałania COVID-19  na dodatki dla gospodarstw domowych na inne źródła ciepła w wysokości 510 zł. </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Środki z Funduszu Przeciwdziałania COVID-19 na rekompensaty dla przedsiębiorstw energetycznych  w wysokości 116 366,34 zł. </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u w:val="single"/>
        </w:rPr>
      </w:pPr>
      <w:r w:rsidRPr="00E77450">
        <w:rPr>
          <w:rFonts w:ascii="Times New Roman" w:hAnsi="Times New Roman" w:cs="Times New Roman"/>
          <w:sz w:val="24"/>
          <w:szCs w:val="24"/>
        </w:rPr>
        <w:lastRenderedPageBreak/>
        <w:t xml:space="preserve">Zaliczka na dofinansowanie projektu ze środków PFRON UE w wysokości  87 481,16 zł. do realizacji w 2023 roku pod nazwą </w:t>
      </w:r>
      <w:r w:rsidRPr="00E77450">
        <w:rPr>
          <w:rFonts w:ascii="Times New Roman" w:hAnsi="Times New Roman" w:cs="Times New Roman"/>
          <w:i/>
          <w:iCs/>
          <w:sz w:val="24"/>
          <w:szCs w:val="24"/>
        </w:rPr>
        <w:t>Likwidacja barier w budynku Urzędu Miejskiego w Bobolicach  w ramach Programu „ Dostępny Samorząd – granty”</w:t>
      </w:r>
      <w:r w:rsidRPr="00E77450">
        <w:rPr>
          <w:rFonts w:ascii="Times New Roman" w:hAnsi="Times New Roman" w:cs="Times New Roman"/>
          <w:sz w:val="24"/>
          <w:szCs w:val="24"/>
        </w:rPr>
        <w:t xml:space="preserve"> </w:t>
      </w:r>
      <w:r w:rsidRPr="00E77450">
        <w:rPr>
          <w:rFonts w:ascii="Times New Roman" w:hAnsi="Times New Roman" w:cs="Times New Roman"/>
          <w:sz w:val="24"/>
          <w:szCs w:val="24"/>
          <w:u w:val="single"/>
        </w:rPr>
        <w:t xml:space="preserve">w części ze środków dotacji celowej z budżetu państwa 13 752,04 zł. </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środki z przeciwdziałania alkoholizmowi 83 151,80 zł. </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środki z systemu gospodarowania odpadami komunalnymi  92 478,28 zł.</w:t>
      </w:r>
    </w:p>
    <w:p w:rsidR="00E77450" w:rsidRPr="00E77450" w:rsidRDefault="00E77450" w:rsidP="00E7745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E77450">
        <w:rPr>
          <w:rFonts w:ascii="Times New Roman" w:hAnsi="Times New Roman" w:cs="Times New Roman"/>
          <w:b/>
          <w:bCs/>
          <w:sz w:val="24"/>
          <w:szCs w:val="24"/>
        </w:rPr>
        <w:t>środkami unijnymi niewykorzystanymi w 2022 roku w wysokości 75 269,84 zł., w tym:</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u w:val="single"/>
        </w:rPr>
      </w:pPr>
      <w:r w:rsidRPr="00E77450">
        <w:rPr>
          <w:rFonts w:ascii="Times New Roman" w:hAnsi="Times New Roman" w:cs="Times New Roman"/>
          <w:sz w:val="24"/>
          <w:szCs w:val="24"/>
        </w:rPr>
        <w:t xml:space="preserve">Zaliczka na dofinansowanie projektu ze środków PFRON UE w wysokości  87 481,16 zł. do realizacji w 2023 roku pod nazwą </w:t>
      </w:r>
      <w:r w:rsidRPr="00E77450">
        <w:rPr>
          <w:rFonts w:ascii="Times New Roman" w:hAnsi="Times New Roman" w:cs="Times New Roman"/>
          <w:i/>
          <w:iCs/>
          <w:sz w:val="24"/>
          <w:szCs w:val="24"/>
        </w:rPr>
        <w:t>Likwidacja barier w budynku Urzędu Miejskiego                         w Bobolicach w ramach Programu „ Dostępny Samorząd – granty”</w:t>
      </w:r>
      <w:r w:rsidRPr="00E77450">
        <w:rPr>
          <w:rFonts w:ascii="Times New Roman" w:hAnsi="Times New Roman" w:cs="Times New Roman"/>
          <w:sz w:val="24"/>
          <w:szCs w:val="24"/>
        </w:rPr>
        <w:t xml:space="preserve">, tj. </w:t>
      </w:r>
      <w:r w:rsidRPr="00E77450">
        <w:rPr>
          <w:rFonts w:ascii="Times New Roman" w:hAnsi="Times New Roman" w:cs="Times New Roman"/>
          <w:sz w:val="24"/>
          <w:szCs w:val="24"/>
          <w:u w:val="single"/>
        </w:rPr>
        <w:t>ze środków UE 73 729,12 zł.</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Granty PGR             1 251,93 zł.</w:t>
      </w:r>
    </w:p>
    <w:p w:rsidR="00E77450" w:rsidRPr="00E77450" w:rsidRDefault="00E77450" w:rsidP="00E7745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Cyfrowa Gmina          288,79 zł. </w:t>
      </w:r>
    </w:p>
    <w:p w:rsidR="00E77450" w:rsidRPr="00E77450" w:rsidRDefault="00E77450" w:rsidP="00E77450">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b/>
          <w:bCs/>
          <w:sz w:val="24"/>
          <w:szCs w:val="24"/>
        </w:rPr>
      </w:pPr>
      <w:r w:rsidRPr="00E77450">
        <w:rPr>
          <w:rFonts w:ascii="Times New Roman" w:hAnsi="Times New Roman" w:cs="Times New Roman"/>
          <w:sz w:val="24"/>
          <w:szCs w:val="24"/>
        </w:rPr>
        <w:t xml:space="preserve">przychodami pochodzącymi </w:t>
      </w:r>
      <w:r w:rsidRPr="00E77450">
        <w:rPr>
          <w:rFonts w:ascii="Times New Roman" w:hAnsi="Times New Roman" w:cs="Times New Roman"/>
          <w:b/>
          <w:bCs/>
          <w:sz w:val="24"/>
          <w:szCs w:val="24"/>
        </w:rPr>
        <w:t>z</w:t>
      </w:r>
      <w:r w:rsidRPr="00E77450">
        <w:rPr>
          <w:rFonts w:ascii="Times New Roman" w:hAnsi="Times New Roman" w:cs="Times New Roman"/>
          <w:sz w:val="24"/>
          <w:szCs w:val="24"/>
        </w:rPr>
        <w:t xml:space="preserve"> </w:t>
      </w:r>
      <w:r w:rsidRPr="00E77450">
        <w:rPr>
          <w:rFonts w:ascii="Times New Roman" w:hAnsi="Times New Roman" w:cs="Times New Roman"/>
          <w:b/>
          <w:bCs/>
          <w:sz w:val="24"/>
          <w:szCs w:val="24"/>
        </w:rPr>
        <w:t xml:space="preserve">wolnych środków, o których mowa w art. 217 ust. 2 pkt. 6 </w:t>
      </w:r>
      <w:proofErr w:type="spellStart"/>
      <w:r w:rsidRPr="00E77450">
        <w:rPr>
          <w:rFonts w:ascii="Times New Roman" w:hAnsi="Times New Roman" w:cs="Times New Roman"/>
          <w:b/>
          <w:bCs/>
          <w:sz w:val="24"/>
          <w:szCs w:val="24"/>
        </w:rPr>
        <w:t>uofp</w:t>
      </w:r>
      <w:proofErr w:type="spellEnd"/>
      <w:r w:rsidRPr="00E77450">
        <w:rPr>
          <w:rFonts w:ascii="Times New Roman" w:hAnsi="Times New Roman" w:cs="Times New Roman"/>
          <w:sz w:val="24"/>
          <w:szCs w:val="24"/>
        </w:rPr>
        <w:t>, jako nadwyżki środków pieniężnych na rachunku bieżącym  budżetu Gminy, w tym wynikających</w:t>
      </w:r>
      <w:r w:rsidRPr="00E77450">
        <w:rPr>
          <w:rFonts w:ascii="Calibri" w:hAnsi="Calibri" w:cs="Calibri"/>
          <w:sz w:val="24"/>
          <w:szCs w:val="24"/>
        </w:rPr>
        <w:t xml:space="preserve"> z rozliczeń wyemitowanych papierów wartościowych i kredytów z lat ubiegłych na kwotę</w:t>
      </w:r>
      <w:r w:rsidRPr="00E77450">
        <w:rPr>
          <w:rFonts w:ascii="Calibri" w:hAnsi="Calibri" w:cs="Calibri"/>
          <w:b/>
          <w:bCs/>
          <w:sz w:val="24"/>
          <w:szCs w:val="24"/>
        </w:rPr>
        <w:t xml:space="preserve">  365 535 zł.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E77450">
        <w:rPr>
          <w:rFonts w:ascii="Times New Roman" w:hAnsi="Times New Roman" w:cs="Times New Roman"/>
          <w:b/>
          <w:bCs/>
          <w:sz w:val="28"/>
          <w:szCs w:val="28"/>
        </w:rPr>
        <w:t>Kwota długu, sposób jego sfinansowania i relacja o której mowa w art. 243 ustawy o finansach p</w:t>
      </w:r>
      <w:r w:rsidRPr="00E77450">
        <w:rPr>
          <w:rFonts w:ascii="Times New Roman" w:hAnsi="Times New Roman" w:cs="Times New Roman"/>
          <w:b/>
          <w:bCs/>
          <w:sz w:val="20"/>
          <w:szCs w:val="20"/>
        </w:rPr>
        <w:t xml:space="preserve">ublicznych. </w:t>
      </w:r>
    </w:p>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Relacja o której mowa w art. 243 ustawy o finansach publicznych wyliczona została w pozycjach od 8.3 do 8.4.1 załącznika nr 1.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Zgodnie z przyjętymi założeniami do projektu budżetu na 2023 roku zadłużenie Gminy Bobolice na koniec 2023 roku wyniesie 16 590 000 zł. z tytułu zaciągniętych w latach poprzednich kredytów i emisji obligacji wyłącznie  na zadania inwestycyjne, związane z rozwojem Gminy. Gmina nie planuje zaciągania nowych zobowiązań. Wskaźniki zadłużenia zostały spełnione zgodnie z art. 243 </w:t>
      </w:r>
      <w:proofErr w:type="spellStart"/>
      <w:r w:rsidRPr="00E77450">
        <w:rPr>
          <w:rFonts w:ascii="Times New Roman" w:hAnsi="Times New Roman" w:cs="Times New Roman"/>
          <w:sz w:val="24"/>
          <w:szCs w:val="24"/>
        </w:rPr>
        <w:t>uofp</w:t>
      </w:r>
      <w:proofErr w:type="spellEnd"/>
      <w:r w:rsidRPr="00E77450">
        <w:rPr>
          <w:rFonts w:ascii="Times New Roman" w:hAnsi="Times New Roman" w:cs="Times New Roman"/>
          <w:sz w:val="24"/>
          <w:szCs w:val="24"/>
        </w:rPr>
        <w:t xml:space="preserve">. Relacja łącznej kwoty długu do dochodów ogółem pomniejszonych o kwoty dotacji i środków o podobnym charakterze oraz powiększone o wolne środki nieprzeznaczone na sfinansowanie deficytu budżetowego - stanowi </w:t>
      </w:r>
      <w:r w:rsidRPr="00E77450">
        <w:rPr>
          <w:rFonts w:ascii="Times New Roman" w:hAnsi="Times New Roman" w:cs="Times New Roman"/>
          <w:b/>
          <w:bCs/>
          <w:sz w:val="24"/>
          <w:szCs w:val="24"/>
        </w:rPr>
        <w:t xml:space="preserve">42,13% na maksymalny wskaźnik 60%. </w:t>
      </w:r>
      <w:r w:rsidRPr="00E77450">
        <w:rPr>
          <w:rFonts w:ascii="Times New Roman" w:hAnsi="Times New Roman" w:cs="Times New Roman"/>
          <w:sz w:val="24"/>
          <w:szCs w:val="24"/>
        </w:rPr>
        <w:t xml:space="preserve">Spełnione </w:t>
      </w:r>
      <w:proofErr w:type="spellStart"/>
      <w:r w:rsidRPr="00E77450">
        <w:rPr>
          <w:rFonts w:ascii="Times New Roman" w:hAnsi="Times New Roman" w:cs="Times New Roman"/>
          <w:sz w:val="24"/>
          <w:szCs w:val="24"/>
        </w:rPr>
        <w:t>sa</w:t>
      </w:r>
      <w:proofErr w:type="spellEnd"/>
      <w:r w:rsidRPr="00E77450">
        <w:rPr>
          <w:rFonts w:ascii="Times New Roman" w:hAnsi="Times New Roman" w:cs="Times New Roman"/>
          <w:sz w:val="24"/>
          <w:szCs w:val="24"/>
        </w:rPr>
        <w:t xml:space="preserve"> również indywidualne wskaźniki zadłużenia. Wysokość poszczególnych wskaźników określona jest w pozycjach 8.1 do 8.4.1 Załącznika Nr 1 WPF</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E77450">
        <w:rPr>
          <w:rFonts w:ascii="Times New Roman" w:hAnsi="Times New Roman" w:cs="Times New Roman"/>
          <w:b/>
          <w:bCs/>
          <w:sz w:val="24"/>
          <w:szCs w:val="24"/>
        </w:rPr>
        <w:lastRenderedPageBreak/>
        <w:t>RELACJA ART. 242 USTAWY O FINANSACH PUBLICZNYCH</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Przy uchwalaniu budżetu, zgodnie z art. 242 </w:t>
      </w:r>
      <w:proofErr w:type="spellStart"/>
      <w:r w:rsidRPr="00E77450">
        <w:rPr>
          <w:rFonts w:ascii="Times New Roman" w:hAnsi="Times New Roman" w:cs="Times New Roman"/>
          <w:sz w:val="24"/>
          <w:szCs w:val="24"/>
        </w:rPr>
        <w:t>uofp</w:t>
      </w:r>
      <w:proofErr w:type="spellEnd"/>
      <w:r w:rsidRPr="00E77450">
        <w:rPr>
          <w:rFonts w:ascii="Times New Roman" w:hAnsi="Times New Roman" w:cs="Times New Roman"/>
          <w:sz w:val="24"/>
          <w:szCs w:val="24"/>
        </w:rPr>
        <w:t xml:space="preserve"> musi być zachowana relacja w zakresie: wydatki bieżące muszą być niższe </w:t>
      </w:r>
      <w:proofErr w:type="spellStart"/>
      <w:r w:rsidRPr="00E77450">
        <w:rPr>
          <w:rFonts w:ascii="Times New Roman" w:hAnsi="Times New Roman" w:cs="Times New Roman"/>
          <w:sz w:val="24"/>
          <w:szCs w:val="24"/>
        </w:rPr>
        <w:t>niz</w:t>
      </w:r>
      <w:proofErr w:type="spellEnd"/>
      <w:r w:rsidRPr="00E77450">
        <w:rPr>
          <w:rFonts w:ascii="Times New Roman" w:hAnsi="Times New Roman" w:cs="Times New Roman"/>
          <w:sz w:val="24"/>
          <w:szCs w:val="24"/>
        </w:rPr>
        <w:t xml:space="preserve"> dochody bieżące powiększone o wolne środki.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Budżet na 2023 rok został ustalony według niniejszej zasady i spełnienia przedmiotowej relacji. Finansowanie relacji art. 242 </w:t>
      </w:r>
      <w:proofErr w:type="spellStart"/>
      <w:r w:rsidRPr="00E77450">
        <w:rPr>
          <w:rFonts w:ascii="Times New Roman" w:hAnsi="Times New Roman" w:cs="Times New Roman"/>
          <w:sz w:val="24"/>
          <w:szCs w:val="24"/>
        </w:rPr>
        <w:t>uofp</w:t>
      </w:r>
      <w:proofErr w:type="spellEnd"/>
      <w:r w:rsidRPr="00E77450">
        <w:rPr>
          <w:rFonts w:ascii="Times New Roman" w:hAnsi="Times New Roman" w:cs="Times New Roman"/>
          <w:sz w:val="24"/>
          <w:szCs w:val="24"/>
        </w:rPr>
        <w:t xml:space="preserve"> jest dopuszczalne do 2025 roku. </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E77450">
        <w:rPr>
          <w:rFonts w:ascii="Times New Roman" w:hAnsi="Times New Roman" w:cs="Times New Roman"/>
          <w:b/>
          <w:bCs/>
          <w:sz w:val="24"/>
          <w:szCs w:val="24"/>
        </w:rPr>
        <w:t>PORĘCZENIA I GWARANCJE:</w:t>
      </w: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77450" w:rsidRPr="00E77450" w:rsidRDefault="00E77450" w:rsidP="00E774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7450">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7450">
        <w:rPr>
          <w:rFonts w:ascii="Times New Roman" w:hAnsi="Times New Roman" w:cs="Times New Roman"/>
          <w:sz w:val="24"/>
          <w:szCs w:val="24"/>
        </w:rPr>
        <w:t>Gmina Bobolice udzieliła następujących  poręczeń:</w:t>
      </w:r>
    </w:p>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E77450">
        <w:rPr>
          <w:rFonts w:ascii="Times New Roman" w:hAnsi="Times New Roman" w:cs="Times New Roman"/>
          <w:sz w:val="24"/>
          <w:szCs w:val="24"/>
        </w:rPr>
        <w:t xml:space="preserve">1. Spółka </w:t>
      </w:r>
      <w:proofErr w:type="spellStart"/>
      <w:r w:rsidRPr="00E77450">
        <w:rPr>
          <w:rFonts w:ascii="Times New Roman" w:hAnsi="Times New Roman" w:cs="Times New Roman"/>
          <w:sz w:val="24"/>
          <w:szCs w:val="24"/>
        </w:rPr>
        <w:t>RWiK</w:t>
      </w:r>
      <w:proofErr w:type="spellEnd"/>
      <w:r w:rsidRPr="00E77450">
        <w:rPr>
          <w:rFonts w:ascii="Times New Roman" w:hAnsi="Times New Roman" w:cs="Times New Roman"/>
          <w:sz w:val="24"/>
          <w:szCs w:val="24"/>
        </w:rPr>
        <w:t xml:space="preserve"> do umowy pożyczki Nr 2019P2785K z dnia 21.11.2019r. z przeznaczeniem na </w:t>
      </w:r>
      <w:r w:rsidRPr="00E77450">
        <w:rPr>
          <w:rFonts w:ascii="Times New Roman" w:hAnsi="Times New Roman" w:cs="Times New Roman"/>
          <w:i/>
          <w:iCs/>
          <w:sz w:val="24"/>
          <w:szCs w:val="24"/>
        </w:rPr>
        <w:t>Wymianę sieci wodociągowej w miejscowości Kłanino</w:t>
      </w:r>
      <w:r w:rsidRPr="00E77450">
        <w:rPr>
          <w:rFonts w:ascii="Times New Roman" w:hAnsi="Times New Roman" w:cs="Times New Roman"/>
          <w:sz w:val="24"/>
          <w:szCs w:val="24"/>
        </w:rPr>
        <w:t xml:space="preserve"> na okres do 15.06.2034r. </w:t>
      </w:r>
    </w:p>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7450">
        <w:rPr>
          <w:rFonts w:ascii="Times New Roman" w:hAnsi="Times New Roman" w:cs="Times New Roman"/>
          <w:sz w:val="24"/>
          <w:szCs w:val="24"/>
        </w:rPr>
        <w:t xml:space="preserve">Na wartość potencjalnego poręczenia składają się: rata, odsetki oraz kary umowne w </w:t>
      </w:r>
      <w:proofErr w:type="spellStart"/>
      <w:r w:rsidRPr="00E77450">
        <w:rPr>
          <w:rFonts w:ascii="Times New Roman" w:hAnsi="Times New Roman" w:cs="Times New Roman"/>
          <w:sz w:val="24"/>
          <w:szCs w:val="24"/>
        </w:rPr>
        <w:t>wysokosci</w:t>
      </w:r>
      <w:proofErr w:type="spellEnd"/>
      <w:r w:rsidRPr="00E77450">
        <w:rPr>
          <w:rFonts w:ascii="Times New Roman" w:hAnsi="Times New Roman" w:cs="Times New Roman"/>
          <w:sz w:val="24"/>
          <w:szCs w:val="24"/>
        </w:rPr>
        <w:t xml:space="preserve"> 25% wartości nominalnej poręczenia</w:t>
      </w:r>
    </w:p>
    <w:p w:rsidR="00E77450" w:rsidRPr="00E77450" w:rsidRDefault="00E77450" w:rsidP="00E774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58551C" w:rsidRDefault="0058551C"/>
    <w:sectPr w:rsidR="0058551C" w:rsidSect="007D7E29">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1">
    <w:nsid w:val="00000002"/>
    <w:multiLevelType w:val="multilevel"/>
    <w:tmpl w:val="00000002"/>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auto"/>
        <w:sz w:val="24"/>
        <w:szCs w:val="24"/>
        <w:u w:val="none"/>
      </w:rPr>
    </w:lvl>
  </w:abstractNum>
  <w:abstractNum w:abstractNumId="2">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Override>
    <w:lvlOverride w:ilvl="2">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Override>
    <w:lvlOverride w:ilvl="3">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Override>
    <w:lvlOverride w:ilvl="4">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Override>
    <w:lvlOverride w:ilvl="5">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Override>
    <w:lvlOverride w:ilvl="6">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Override>
    <w:lvlOverride w:ilvl="7">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Override>
    <w:lvlOverride w:ilvl="8">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lvlOverride>
  </w:num>
  <w:num w:numId="3">
    <w:abstractNumId w:val="1"/>
  </w:num>
  <w:num w:numId="4">
    <w:abstractNumId w:val="2"/>
  </w:num>
  <w:num w:numId="5">
    <w:abstractNumId w:val="1"/>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auto"/>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auto"/>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auto"/>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auto"/>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auto"/>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auto"/>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auto"/>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compat/>
  <w:rsids>
    <w:rsidRoot w:val="00E77450"/>
    <w:rsid w:val="004952F1"/>
    <w:rsid w:val="0058551C"/>
    <w:rsid w:val="00E77450"/>
    <w:rsid w:val="00FE39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77450"/>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2599</Words>
  <Characters>15594</Characters>
  <Application>Microsoft Office Word</Application>
  <DocSecurity>0</DocSecurity>
  <Lines>129</Lines>
  <Paragraphs>36</Paragraphs>
  <ScaleCrop>false</ScaleCrop>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2023-10-04T10:56:00Z</dcterms:created>
  <dcterms:modified xsi:type="dcterms:W3CDTF">2023-10-04T10:57:00Z</dcterms:modified>
</cp:coreProperties>
</file>