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26D72101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5B474B" w:rsidRPr="004502B1">
        <w:rPr>
          <w:rFonts w:ascii="Arial" w:hAnsi="Arial" w:cs="Arial"/>
          <w:b/>
          <w:lang w:eastAsia="pl-PL"/>
        </w:rPr>
        <w:t>1</w:t>
      </w:r>
      <w:r w:rsidR="004502B1" w:rsidRPr="004502B1">
        <w:rPr>
          <w:rFonts w:ascii="Arial" w:hAnsi="Arial" w:cs="Arial"/>
          <w:b/>
          <w:lang w:eastAsia="pl-PL"/>
        </w:rPr>
        <w:t>8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183FFE" w:rsidRPr="004502B1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6EA40BAC" w:rsidR="0008391E" w:rsidRPr="00DB5E4F" w:rsidRDefault="007C0AE7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183FFE">
              <w:rPr>
                <w:rFonts w:ascii="Arial" w:hAnsi="Arial" w:cs="Arial"/>
                <w:b/>
              </w:rPr>
              <w:t>Juryszewo i Nowe Boryszewo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6DFFC671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A0353A">
        <w:rPr>
          <w:rFonts w:ascii="Arial" w:hAnsi="Arial" w:cs="Arial"/>
          <w:bCs/>
        </w:rPr>
        <w:t xml:space="preserve">Przebudowa dróg gminnych w miejscowościach </w:t>
      </w:r>
      <w:r w:rsidR="00183FFE">
        <w:rPr>
          <w:rFonts w:ascii="Arial" w:hAnsi="Arial" w:cs="Arial"/>
          <w:bCs/>
        </w:rPr>
        <w:t>Juryszewo i Nowe Boryszewo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5B474B">
        <w:rPr>
          <w:rFonts w:ascii="Arial" w:hAnsi="Arial" w:cs="Arial"/>
          <w:b/>
        </w:rPr>
        <w:t>1</w:t>
      </w:r>
      <w:r w:rsidR="004502B1">
        <w:rPr>
          <w:rFonts w:ascii="Arial" w:hAnsi="Arial" w:cs="Arial"/>
          <w:b/>
        </w:rPr>
        <w:t>8</w:t>
      </w:r>
      <w:r w:rsidR="00A57D67" w:rsidRPr="00CB3D21">
        <w:rPr>
          <w:rFonts w:ascii="Arial" w:hAnsi="Arial" w:cs="Arial"/>
          <w:b/>
        </w:rPr>
        <w:t>.202</w:t>
      </w:r>
      <w:r w:rsidR="00183FFE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02A8B0BB" w:rsidR="005B474B" w:rsidRDefault="006C17AF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drogi gminnej w </w:t>
            </w:r>
            <w:r w:rsidR="00183FF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miejscowości Juryszewo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32B25CA8" w:rsidR="005B474B" w:rsidRDefault="006C17AF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drogi gminnej </w:t>
            </w:r>
            <w:r w:rsidR="00183FF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miejscowości Nowe Boryszewo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4EB98EAD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0C6952">
        <w:rPr>
          <w:rFonts w:ascii="Arial" w:hAnsi="Arial" w:cs="Arial"/>
          <w:b/>
        </w:rPr>
        <w:t>1</w:t>
      </w:r>
      <w:r w:rsidR="004502B1">
        <w:rPr>
          <w:rFonts w:ascii="Arial" w:hAnsi="Arial" w:cs="Arial"/>
          <w:b/>
        </w:rPr>
        <w:t>8</w:t>
      </w:r>
      <w:r w:rsidR="00A57D67" w:rsidRPr="008A59AC">
        <w:rPr>
          <w:rFonts w:ascii="Arial" w:hAnsi="Arial" w:cs="Arial"/>
          <w:b/>
        </w:rPr>
        <w:t>.202</w:t>
      </w:r>
      <w:r w:rsidR="00034961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 xml:space="preserve">echnicznej / Specyfikacji Technicznej Wykonania i Odbioru Robót Budowlanych (materiał, </w:t>
            </w:r>
            <w:r w:rsidRPr="00045FE3">
              <w:rPr>
                <w:sz w:val="16"/>
                <w:szCs w:val="16"/>
              </w:rPr>
              <w:lastRenderedPageBreak/>
              <w:t>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</w:t>
            </w:r>
            <w:r w:rsidRPr="00045FE3">
              <w:rPr>
                <w:sz w:val="16"/>
                <w:szCs w:val="16"/>
              </w:rPr>
              <w:lastRenderedPageBreak/>
              <w:t>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1ADD56A8" w14:textId="77777777" w:rsidR="006C17AF" w:rsidRDefault="006C17AF" w:rsidP="004F3929">
      <w:pPr>
        <w:spacing w:after="0" w:line="240" w:lineRule="auto"/>
        <w:rPr>
          <w:iCs/>
        </w:rPr>
      </w:pPr>
    </w:p>
    <w:p w14:paraId="7E9E4DE1" w14:textId="77777777" w:rsidR="00034961" w:rsidRDefault="00034961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ACE2A98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0C6952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2EEB37BD" w:rsidR="00777472" w:rsidRPr="00DB5E4F" w:rsidRDefault="006C17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034961">
              <w:rPr>
                <w:rFonts w:ascii="Arial" w:hAnsi="Arial" w:cs="Arial"/>
                <w:b/>
              </w:rPr>
              <w:t>Juryszewo i Nowe Boryszewo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505436F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1A914FBF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3EA998D8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C104A4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Pr="001C15BE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643AC828" w:rsidR="00C14ED9" w:rsidRPr="00DB5E4F" w:rsidRDefault="006C17AF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034961">
              <w:rPr>
                <w:rFonts w:ascii="Arial" w:hAnsi="Arial" w:cs="Arial"/>
                <w:b/>
              </w:rPr>
              <w:t>Juryszewo i Nowe Boryszewo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5628B38B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4EC22BB1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71763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02026F31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C104A4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38CFD3A" w:rsidR="009C5161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034961">
              <w:rPr>
                <w:rFonts w:ascii="Arial" w:hAnsi="Arial" w:cs="Arial"/>
                <w:b/>
              </w:rPr>
              <w:t>Juryszewo i Nowe Boryszewo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27A70A15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F71763">
        <w:rPr>
          <w:rFonts w:ascii="Arial" w:hAnsi="Arial" w:cs="Arial"/>
          <w:b/>
        </w:rPr>
        <w:t xml:space="preserve">Przebudowa dróg gminnych w miejscowościach </w:t>
      </w:r>
      <w:r w:rsidR="00034961">
        <w:rPr>
          <w:rFonts w:ascii="Arial" w:hAnsi="Arial" w:cs="Arial"/>
          <w:b/>
        </w:rPr>
        <w:t>Juryszewo i Nowe Boryszewo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1DF1638B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EB45404" w:rsidR="000361D9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034961">
              <w:rPr>
                <w:rFonts w:ascii="Arial" w:hAnsi="Arial" w:cs="Arial"/>
                <w:b/>
              </w:rPr>
              <w:t>Juryszewo i Nowe Boryszewo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26618046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F71763">
        <w:rPr>
          <w:rFonts w:ascii="Arial" w:hAnsi="Arial" w:cs="Arial"/>
          <w:bCs/>
        </w:rPr>
        <w:t xml:space="preserve">Przebudowa dróg gminnych w miejscowościach </w:t>
      </w:r>
      <w:r w:rsidR="00034961">
        <w:rPr>
          <w:rFonts w:ascii="Arial" w:hAnsi="Arial" w:cs="Arial"/>
          <w:bCs/>
        </w:rPr>
        <w:t>Juryszewo i Nowe Boryszewo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0A23F8CD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764BE8AC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1E2A6537" w:rsidR="00E62D58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dróg gminnych w miejscowościach Kosino i Juryszewo-Dźwierzno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0E6D60FC" w14:textId="19AAC48C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1A15DABB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F71763">
        <w:rPr>
          <w:rFonts w:ascii="Arial" w:hAnsi="Arial" w:cs="Arial"/>
          <w:b/>
        </w:rPr>
        <w:t xml:space="preserve">Przebudowa dróg gminnych w miejscowościach </w:t>
      </w:r>
      <w:r w:rsidR="00034961">
        <w:rPr>
          <w:rFonts w:ascii="Arial" w:hAnsi="Arial" w:cs="Arial"/>
          <w:b/>
        </w:rPr>
        <w:t>Juryszewo i Nowe Boryszewo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0FD84035" w14:textId="77777777" w:rsidR="00F71763" w:rsidRPr="007D2F48" w:rsidRDefault="00F71763" w:rsidP="00F71763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7" w:name="_Hlk134691775"/>
      <w:bookmarkEnd w:id="6"/>
      <w:r>
        <w:rPr>
          <w:rFonts w:ascii="Arial" w:hAnsi="Arial" w:cs="Arial"/>
        </w:rPr>
        <w:t xml:space="preserve">2. </w:t>
      </w:r>
      <w:bookmarkStart w:id="8" w:name="_Hlk491759948"/>
      <w:r>
        <w:rPr>
          <w:rFonts w:ascii="Arial" w:hAnsi="Arial" w:cs="Arial"/>
        </w:rPr>
        <w:t>Przedmiot zamówienia realizowany będzie w 2 zadaniach:</w:t>
      </w:r>
    </w:p>
    <w:bookmarkEnd w:id="8"/>
    <w:p w14:paraId="7623EF84" w14:textId="33C6FF5C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FA6A0C">
        <w:rPr>
          <w:rFonts w:ascii="Arial" w:hAnsi="Arial" w:cs="Arial"/>
        </w:rPr>
        <w:t>Przebudowa drogi gminnej w miejscowości Juryszewo,</w:t>
      </w:r>
    </w:p>
    <w:p w14:paraId="5BA898FB" w14:textId="30823CE2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Przebudowa drogi gminnej </w:t>
      </w:r>
      <w:r w:rsidR="00FA6A0C">
        <w:rPr>
          <w:rFonts w:ascii="Arial" w:hAnsi="Arial" w:cs="Arial"/>
        </w:rPr>
        <w:t>w miejscowości Nowe Boryszewo</w:t>
      </w:r>
      <w:r>
        <w:rPr>
          <w:rFonts w:ascii="Arial" w:hAnsi="Arial" w:cs="Arial"/>
        </w:rPr>
        <w:t>.</w:t>
      </w:r>
    </w:p>
    <w:p w14:paraId="6E01C31A" w14:textId="77777777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współfinansowane będzie z budżetu Województwa Mazowieckiego w zakresie budowy i modernizacji dróg dojazdowych do gruntów rolnych.</w:t>
      </w:r>
    </w:p>
    <w:p w14:paraId="54A6A831" w14:textId="22309EA7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Zakres robót objętych zamówieniem</w:t>
      </w:r>
      <w:r w:rsidR="00DA0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obejmuje:</w:t>
      </w:r>
    </w:p>
    <w:bookmarkEnd w:id="7"/>
    <w:p w14:paraId="2E486B13" w14:textId="77777777" w:rsidR="00FA6A0C" w:rsidRDefault="00FA6A0C" w:rsidP="00FA6A0C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2B4086BA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nawierzchni,</w:t>
      </w:r>
    </w:p>
    <w:p w14:paraId="657D6AB4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 gr. 8 cm,</w:t>
      </w:r>
    </w:p>
    <w:p w14:paraId="17737321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skropienie nawierzchni drogowej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43147681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ścieralnej nawierzchni z betonu asfaltowego o gr. 5 cm,</w:t>
      </w:r>
    </w:p>
    <w:p w14:paraId="03131194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nawierzchni poboczy z tłucznia,</w:t>
      </w:r>
    </w:p>
    <w:p w14:paraId="0D95FEA9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inwentaryzacji geodezyjnej.</w:t>
      </w:r>
    </w:p>
    <w:p w14:paraId="4E574D19" w14:textId="77777777" w:rsidR="00FA6A0C" w:rsidRDefault="00FA6A0C" w:rsidP="00FA6A0C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06358F4D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nawierzchni,</w:t>
      </w:r>
    </w:p>
    <w:p w14:paraId="4FC740EF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 gr. 8 cm,</w:t>
      </w:r>
    </w:p>
    <w:p w14:paraId="2A12E100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skropienie nawierzchni drogowej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314E7E1D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ścieralnej nawierzchni z betonu asfaltowego gr. 5 cm,</w:t>
      </w:r>
    </w:p>
    <w:p w14:paraId="2B48F275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nawierzchni poboczy z tłucznia,</w:t>
      </w:r>
    </w:p>
    <w:p w14:paraId="288A36C4" w14:textId="77777777" w:rsidR="00FA6A0C" w:rsidRDefault="00FA6A0C" w:rsidP="00FA6A0C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inwentaryzacji geodezyjnej.</w:t>
      </w:r>
    </w:p>
    <w:p w14:paraId="02D69816" w14:textId="2F7072E7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 xml:space="preserve">co najmniej na poziomie parametrów wskazanego produktu, uznając tym samym każdy produkt o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lastRenderedPageBreak/>
        <w:t>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6C537AEC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85168B">
        <w:rPr>
          <w:rFonts w:ascii="Arial" w:hAnsi="Arial" w:cs="Arial"/>
          <w:sz w:val="22"/>
          <w:szCs w:val="22"/>
          <w:lang w:val="pl-PL"/>
        </w:rPr>
        <w:t>Juryszewo, Nowe Boryszewo</w:t>
      </w:r>
      <w:r w:rsidR="00F71763">
        <w:rPr>
          <w:rFonts w:ascii="Arial" w:hAnsi="Arial" w:cs="Arial"/>
          <w:sz w:val="22"/>
          <w:szCs w:val="22"/>
          <w:lang w:val="pl-PL"/>
        </w:rPr>
        <w:t>.</w:t>
      </w:r>
    </w:p>
    <w:p w14:paraId="51856849" w14:textId="5A4930CA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76823AB" w14:textId="55F2AC5D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2270A" w:rsidRPr="00D2270A">
        <w:rPr>
          <w:rFonts w:ascii="Arial" w:hAnsi="Arial" w:cs="Arial"/>
          <w:bCs/>
          <w:sz w:val="22"/>
          <w:szCs w:val="22"/>
          <w:lang w:val="pl-PL"/>
        </w:rPr>
        <w:t>0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</w:t>
      </w:r>
      <w:r w:rsidR="00987CE7" w:rsidRPr="003F16CA">
        <w:rPr>
          <w:rFonts w:ascii="Arial" w:hAnsi="Arial" w:cs="Arial"/>
        </w:rPr>
        <w:lastRenderedPageBreak/>
        <w:t>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</w:t>
      </w:r>
      <w:r w:rsidR="00987CE7" w:rsidRPr="003F16CA">
        <w:rPr>
          <w:rFonts w:ascii="Arial" w:hAnsi="Arial" w:cs="Arial"/>
        </w:rPr>
        <w:lastRenderedPageBreak/>
        <w:t xml:space="preserve">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1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1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5E0E3DC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85168B">
        <w:rPr>
          <w:rFonts w:ascii="Arial" w:hAnsi="Arial" w:cs="Arial"/>
        </w:rPr>
        <w:t>,</w:t>
      </w:r>
    </w:p>
    <w:p w14:paraId="017FF0F3" w14:textId="3A1EA64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75425BB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331C86D2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83D889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27FD8B42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3DB6055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33991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689F5132" w:rsidR="001E5120" w:rsidRPr="00833991" w:rsidRDefault="00DA0FC3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33991"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833991" w:rsidRPr="00833991">
              <w:rPr>
                <w:rFonts w:ascii="Arial" w:hAnsi="Arial" w:cs="Arial"/>
                <w:b/>
              </w:rPr>
              <w:t>Juryszewo i Nowe Boryszewo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2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2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742D1293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33991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63953F0" w:rsidR="00846937" w:rsidRPr="00B407EA" w:rsidRDefault="0070275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dróg gminnych w miejscowościach</w:t>
            </w:r>
            <w:r w:rsidR="00833991" w:rsidRPr="00833991">
              <w:rPr>
                <w:rFonts w:ascii="Arial" w:hAnsi="Arial" w:cs="Arial"/>
                <w:b/>
              </w:rPr>
              <w:t xml:space="preserve"> Juryszewo i Nowe Boryszewo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3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52E98" w14:textId="77777777" w:rsidR="00C35778" w:rsidRDefault="00C35778" w:rsidP="00F744F4">
      <w:pPr>
        <w:spacing w:after="0" w:line="240" w:lineRule="auto"/>
      </w:pPr>
      <w:r>
        <w:separator/>
      </w:r>
    </w:p>
  </w:endnote>
  <w:endnote w:type="continuationSeparator" w:id="0">
    <w:p w14:paraId="5893570E" w14:textId="77777777" w:rsidR="00C35778" w:rsidRDefault="00C35778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DC05" w14:textId="77777777" w:rsidR="00C35778" w:rsidRDefault="00C35778" w:rsidP="00F744F4">
      <w:pPr>
        <w:spacing w:after="0" w:line="240" w:lineRule="auto"/>
      </w:pPr>
      <w:r>
        <w:separator/>
      </w:r>
    </w:p>
  </w:footnote>
  <w:footnote w:type="continuationSeparator" w:id="0">
    <w:p w14:paraId="224D4139" w14:textId="77777777" w:rsidR="00C35778" w:rsidRDefault="00C35778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4961"/>
    <w:rsid w:val="000361D9"/>
    <w:rsid w:val="00043FBD"/>
    <w:rsid w:val="000518E2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6803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31</cp:revision>
  <cp:lastPrinted>2024-07-01T10:22:00Z</cp:lastPrinted>
  <dcterms:created xsi:type="dcterms:W3CDTF">2022-12-12T12:18:00Z</dcterms:created>
  <dcterms:modified xsi:type="dcterms:W3CDTF">2024-07-01T10:22:00Z</dcterms:modified>
</cp:coreProperties>
</file>