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C522D5" w:rsidP="00C522D5">
      <w:pPr>
        <w:tabs>
          <w:tab w:val="left" w:pos="6308"/>
        </w:tabs>
        <w:spacing w:line="276" w:lineRule="auto"/>
        <w:jc w:val="both"/>
        <w:rPr>
          <w:rFonts w:ascii="Arial" w:eastAsia="Arial" w:hAnsi="Arial" w:cs="Arial"/>
          <w:b/>
          <w:bCs/>
          <w:sz w:val="18"/>
          <w:szCs w:val="18"/>
        </w:rPr>
      </w:pPr>
      <w:r>
        <w:rPr>
          <w:rFonts w:ascii="Arial" w:eastAsia="Arial" w:hAnsi="Arial" w:cs="Arial"/>
          <w:b/>
          <w:bCs/>
          <w:sz w:val="18"/>
          <w:szCs w:val="18"/>
        </w:rPr>
        <w:tab/>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5F6A8A" w:rsidRPr="005F6A8A" w:rsidRDefault="005F6A8A" w:rsidP="0033575E">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t>
      </w:r>
      <w:r w:rsidR="0033575E">
        <w:rPr>
          <w:rFonts w:ascii="Arial" w:eastAsia="Arial" w:hAnsi="Arial" w:cs="Arial"/>
          <w:sz w:val="18"/>
          <w:szCs w:val="18"/>
        </w:rPr>
        <w:t xml:space="preserve">z udziałem dofinansowania </w:t>
      </w:r>
      <w:r w:rsidR="0033575E" w:rsidRPr="0033575E">
        <w:rPr>
          <w:rFonts w:ascii="Arial" w:eastAsia="Arial" w:hAnsi="Arial" w:cs="Arial"/>
          <w:sz w:val="18"/>
          <w:szCs w:val="18"/>
        </w:rPr>
        <w:t>ze środków Unii Europejskiej z Europejskieg</w:t>
      </w:r>
      <w:r w:rsidR="0033575E">
        <w:rPr>
          <w:rFonts w:ascii="Arial" w:eastAsia="Arial" w:hAnsi="Arial" w:cs="Arial"/>
          <w:sz w:val="18"/>
          <w:szCs w:val="18"/>
        </w:rPr>
        <w:t xml:space="preserve">o Funduszu Rozwoju Regionalnego </w:t>
      </w:r>
      <w:r w:rsidR="0033575E" w:rsidRPr="0033575E">
        <w:rPr>
          <w:rFonts w:ascii="Arial" w:eastAsia="Arial" w:hAnsi="Arial" w:cs="Arial"/>
          <w:sz w:val="18"/>
          <w:szCs w:val="18"/>
        </w:rPr>
        <w:t>w ramach Regionalnego Programu Operacyjnego Województwa Kujawsko</w:t>
      </w:r>
      <w:r w:rsidR="0033575E">
        <w:rPr>
          <w:rFonts w:ascii="Arial" w:eastAsia="Arial" w:hAnsi="Arial" w:cs="Arial"/>
          <w:sz w:val="18"/>
          <w:szCs w:val="18"/>
        </w:rPr>
        <w:t xml:space="preserve"> Pomorskiego na lata 2014-2020, </w:t>
      </w:r>
      <w:r w:rsidR="0033575E" w:rsidRPr="0033575E">
        <w:rPr>
          <w:rFonts w:ascii="Arial" w:eastAsia="Arial" w:hAnsi="Arial" w:cs="Arial"/>
          <w:sz w:val="18"/>
          <w:szCs w:val="18"/>
        </w:rPr>
        <w:t>Oś priorytetowa 3 Efektywność energetyczna i gospodarka niskoemisyjna w regionie, Działanie 3.3 Efektywność energetyczna w sektorze publicznym i mieszkaniowym</w:t>
      </w:r>
      <w:r w:rsidR="00C522D5" w:rsidRPr="00C522D5">
        <w:rPr>
          <w:rFonts w:ascii="Arial" w:eastAsia="Arial" w:hAnsi="Arial" w:cs="Arial"/>
          <w:sz w:val="18"/>
          <w:szCs w:val="18"/>
        </w:rPr>
        <w:t>.</w:t>
      </w:r>
    </w:p>
    <w:p w:rsid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9614DD" w:rsidRPr="009614DD" w:rsidRDefault="005F6A8A" w:rsidP="0033575E">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C522D5" w:rsidRPr="00C522D5">
        <w:rPr>
          <w:rFonts w:ascii="Arial" w:eastAsia="Arial" w:hAnsi="Arial" w:cs="Arial"/>
          <w:sz w:val="18"/>
          <w:szCs w:val="18"/>
        </w:rPr>
        <w:t>RIZ.271.</w:t>
      </w:r>
      <w:r w:rsidR="0033575E">
        <w:rPr>
          <w:rFonts w:ascii="Arial" w:eastAsia="Arial" w:hAnsi="Arial" w:cs="Arial"/>
          <w:sz w:val="18"/>
          <w:szCs w:val="18"/>
        </w:rPr>
        <w:t>80</w:t>
      </w:r>
      <w:r w:rsidR="00C522D5" w:rsidRPr="00C522D5">
        <w:rPr>
          <w:rFonts w:ascii="Arial" w:eastAsia="Arial" w:hAnsi="Arial" w:cs="Arial"/>
          <w:sz w:val="18"/>
          <w:szCs w:val="18"/>
        </w:rPr>
        <w:t>.2023</w:t>
      </w:r>
      <w:r w:rsidRPr="00C522D5">
        <w:rPr>
          <w:rFonts w:ascii="Arial" w:eastAsia="Arial" w:hAnsi="Arial" w:cs="Arial"/>
          <w:sz w:val="18"/>
          <w:szCs w:val="18"/>
        </w:rPr>
        <w:t>,</w:t>
      </w:r>
      <w:r w:rsidRPr="004D3A29">
        <w:rPr>
          <w:rFonts w:ascii="Arial" w:eastAsia="Arial" w:hAnsi="Arial" w:cs="Arial"/>
          <w:sz w:val="18"/>
          <w:szCs w:val="18"/>
        </w:rPr>
        <w:t xml:space="preserve">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33575E">
        <w:rPr>
          <w:rFonts w:ascii="Arial" w:eastAsia="Arial" w:hAnsi="Arial" w:cs="Arial"/>
          <w:sz w:val="18"/>
          <w:szCs w:val="18"/>
        </w:rPr>
        <w:t xml:space="preserve">termomodernizacji …………………………………………… (CZĘŚĆ …..) </w:t>
      </w:r>
      <w:r w:rsidR="00C522D5" w:rsidRPr="00C522D5">
        <w:rPr>
          <w:rFonts w:ascii="Arial" w:eastAsia="Arial" w:hAnsi="Arial" w:cs="Arial"/>
          <w:sz w:val="18"/>
          <w:szCs w:val="18"/>
        </w:rPr>
        <w:t xml:space="preserve"> Obowiązkiem Wykonawcy będzie również dopełnienie w imieniu Zamawiającego wszelkich procedur </w:t>
      </w:r>
      <w:proofErr w:type="spellStart"/>
      <w:r w:rsidR="00C522D5" w:rsidRPr="00C522D5">
        <w:rPr>
          <w:rFonts w:ascii="Arial" w:eastAsia="Arial" w:hAnsi="Arial" w:cs="Arial"/>
          <w:sz w:val="18"/>
          <w:szCs w:val="18"/>
        </w:rPr>
        <w:t>administracyjno</w:t>
      </w:r>
      <w:proofErr w:type="spellEnd"/>
      <w:r w:rsidR="00C522D5" w:rsidRPr="00C522D5">
        <w:rPr>
          <w:rFonts w:ascii="Arial" w:eastAsia="Arial" w:hAnsi="Arial" w:cs="Arial"/>
          <w:sz w:val="18"/>
          <w:szCs w:val="18"/>
        </w:rPr>
        <w:t xml:space="preserve"> – budowlanych umożliwiających użytkowanie pomieszczeń po adaptacji (o ile takie będą wymagane).</w:t>
      </w:r>
    </w:p>
    <w:p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C522D5">
        <w:rPr>
          <w:rFonts w:ascii="Arial" w:eastAsia="Arial" w:hAnsi="Arial" w:cs="Arial"/>
          <w:sz w:val="18"/>
          <w:szCs w:val="18"/>
        </w:rPr>
        <w:t>ze środków zewnętrznych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C522D5">
        <w:rPr>
          <w:rFonts w:ascii="Arial" w:eastAsia="Arial" w:hAnsi="Arial" w:cs="Arial"/>
          <w:sz w:val="18"/>
          <w:szCs w:val="18"/>
        </w:rPr>
        <w:t>instytucję współfinansującą</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10 są wykonywane przez </w:t>
      </w:r>
      <w:r w:rsidRPr="005F6A8A">
        <w:rPr>
          <w:rFonts w:ascii="Arial" w:hAnsi="Arial" w:cs="Arial"/>
          <w:sz w:val="18"/>
          <w:szCs w:val="18"/>
        </w:rPr>
        <w:lastRenderedPageBreak/>
        <w:t>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w:t>
      </w:r>
      <w:r w:rsidRPr="005F6A8A">
        <w:rPr>
          <w:rFonts w:ascii="Arial" w:eastAsia="Arial" w:hAnsi="Arial" w:cs="Arial"/>
          <w:sz w:val="18"/>
          <w:szCs w:val="18"/>
        </w:rPr>
        <w:lastRenderedPageBreak/>
        <w:t>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lastRenderedPageBreak/>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t>
      </w:r>
      <w:r w:rsidRPr="005F6A8A">
        <w:rPr>
          <w:rFonts w:ascii="Arial" w:eastAsia="Arial" w:hAnsi="Arial" w:cs="Arial"/>
          <w:sz w:val="18"/>
          <w:szCs w:val="18"/>
        </w:rPr>
        <w:lastRenderedPageBreak/>
        <w:t xml:space="preserve">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567025" w:rsidRDefault="00567025"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lastRenderedPageBreak/>
        <w:t>Kierownika budowy posiadającego uprawnienia  w specjalności sanitarnej bez ograniczeń:</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TERMIN REALIZACJI I ODBIÓR PRZEDMIOTU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C522D5">
        <w:rPr>
          <w:rFonts w:ascii="Arial" w:eastAsia="Arial" w:hAnsi="Arial" w:cs="Arial"/>
          <w:sz w:val="18"/>
          <w:szCs w:val="18"/>
          <w:u w:val="single"/>
        </w:rPr>
        <w:t>1</w:t>
      </w:r>
      <w:r w:rsidR="0033575E">
        <w:rPr>
          <w:rFonts w:ascii="Arial" w:eastAsia="Arial" w:hAnsi="Arial" w:cs="Arial"/>
          <w:sz w:val="18"/>
          <w:szCs w:val="18"/>
          <w:u w:val="single"/>
        </w:rPr>
        <w:t>1</w:t>
      </w:r>
      <w:r w:rsidR="00C522D5">
        <w:rPr>
          <w:rFonts w:ascii="Arial" w:eastAsia="Arial" w:hAnsi="Arial" w:cs="Arial"/>
          <w:sz w:val="18"/>
          <w:szCs w:val="18"/>
          <w:u w:val="single"/>
        </w:rPr>
        <w:t xml:space="preserve"> tygodni</w:t>
      </w:r>
      <w:r w:rsidRPr="005F6A8A">
        <w:rPr>
          <w:rFonts w:ascii="Arial" w:eastAsia="Arial" w:hAnsi="Arial" w:cs="Arial"/>
          <w:sz w:val="18"/>
          <w:szCs w:val="18"/>
          <w:u w:val="single"/>
        </w:rPr>
        <w:t xml:space="preserve"> od podpisania Umowy.</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624249"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624249"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 xml:space="preserve">Zamawiający po dokonaniu przez inspektora nadzoru weryfikacji tj. sprawdzenia kompletności i prawidłowości oraz zatwierdzenia dokumentów o których mowa w ust. 10 powoła komisję odbiorową i wyznaczy termin rozpoczęcia </w:t>
      </w:r>
      <w:r w:rsidRPr="005F6A8A">
        <w:rPr>
          <w:rFonts w:ascii="Arial" w:eastAsia="Arial" w:hAnsi="Arial" w:cs="Arial"/>
          <w:sz w:val="18"/>
          <w:szCs w:val="18"/>
        </w:rPr>
        <w:lastRenderedPageBreak/>
        <w:t>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C522D5" w:rsidRPr="00CA0B2F" w:rsidRDefault="00C522D5" w:rsidP="00C522D5">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Pr="00CA0B2F">
        <w:rPr>
          <w:rFonts w:ascii="Arial" w:eastAsia="Arial" w:hAnsi="Arial" w:cs="Arial"/>
          <w:b/>
          <w:sz w:val="18"/>
          <w:szCs w:val="18"/>
          <w:lang w:val="de-DE"/>
        </w:rPr>
        <w:t>7</w:t>
      </w:r>
    </w:p>
    <w:p w:rsidR="00C522D5" w:rsidRPr="00CA0B2F" w:rsidRDefault="00C522D5" w:rsidP="00C522D5">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00C522D5" w:rsidRDefault="00C522D5" w:rsidP="00C522D5">
      <w:pPr>
        <w:pStyle w:val="Akapitzlist"/>
        <w:widowControl/>
        <w:numPr>
          <w:ilvl w:val="0"/>
          <w:numId w:val="13"/>
        </w:numPr>
        <w:spacing w:line="276" w:lineRule="auto"/>
        <w:ind w:left="360"/>
        <w:jc w:val="both"/>
        <w:rPr>
          <w:rFonts w:eastAsiaTheme="minorEastAsia"/>
          <w:sz w:val="18"/>
          <w:szCs w:val="18"/>
          <w:lang w:val="de-DE"/>
        </w:rPr>
      </w:pPr>
      <w:proofErr w:type="spellStart"/>
      <w:r w:rsidRPr="30FA5C21">
        <w:rPr>
          <w:rFonts w:ascii="Arial" w:eastAsia="Arial" w:hAnsi="Arial" w:cs="Arial"/>
          <w:sz w:val="18"/>
          <w:szCs w:val="18"/>
          <w:lang w:val="de-DE"/>
        </w:rPr>
        <w:t>Za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Wykonawca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otrzyma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wynagrodzenie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wysokości</w:t>
      </w:r>
      <w:proofErr w:type="spellEnd"/>
      <w:r w:rsidRPr="30FA5C21">
        <w:rPr>
          <w:rFonts w:ascii="Arial" w:eastAsia="Arial" w:hAnsi="Arial" w:cs="Arial"/>
          <w:sz w:val="18"/>
          <w:szCs w:val="18"/>
          <w:lang w:val="de-DE"/>
        </w:rPr>
        <w:t>:</w:t>
      </w:r>
      <w:r>
        <w:rPr>
          <w:rFonts w:ascii="Arial" w:eastAsia="Arial" w:hAnsi="Arial" w:cs="Arial"/>
          <w:sz w:val="18"/>
          <w:szCs w:val="18"/>
          <w:lang w:val="de-DE"/>
        </w:rPr>
        <w:t xml:space="preserve"> </w:t>
      </w:r>
      <w:r w:rsidRPr="30FA5C21">
        <w:rPr>
          <w:rFonts w:ascii="Arial" w:eastAsia="Arial" w:hAnsi="Arial" w:cs="Arial"/>
          <w:sz w:val="18"/>
          <w:szCs w:val="18"/>
          <w:lang w:val="de-DE"/>
        </w:rPr>
        <w:t>.......................</w:t>
      </w:r>
      <w:r>
        <w:rPr>
          <w:rFonts w:ascii="Arial" w:eastAsia="Arial" w:hAnsi="Arial" w:cs="Arial"/>
          <w:sz w:val="18"/>
          <w:szCs w:val="18"/>
          <w:lang w:val="de-DE"/>
        </w:rPr>
        <w:t xml:space="preserve"> PLN (</w:t>
      </w:r>
      <w:proofErr w:type="spellStart"/>
      <w:r>
        <w:rPr>
          <w:rFonts w:ascii="Arial" w:eastAsia="Arial" w:hAnsi="Arial" w:cs="Arial"/>
          <w:sz w:val="18"/>
          <w:szCs w:val="18"/>
          <w:lang w:val="de-DE"/>
        </w:rPr>
        <w:t>wartość</w:t>
      </w:r>
      <w:proofErr w:type="spellEnd"/>
      <w:r>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w:t>
      </w:r>
      <w:proofErr w:type="spellStart"/>
      <w:r w:rsidRPr="30FA5C21">
        <w:rPr>
          <w:rFonts w:ascii="Arial" w:eastAsia="Arial" w:hAnsi="Arial" w:cs="Arial"/>
          <w:sz w:val="18"/>
          <w:szCs w:val="18"/>
          <w:lang w:val="de-DE"/>
        </w:rPr>
        <w:t>słownie</w:t>
      </w:r>
      <w:proofErr w:type="spellEnd"/>
      <w:r w:rsidRPr="30FA5C21">
        <w:rPr>
          <w:rFonts w:ascii="Arial" w:eastAsia="Arial" w:hAnsi="Arial" w:cs="Arial"/>
          <w:sz w:val="18"/>
          <w:szCs w:val="18"/>
          <w:lang w:val="de-DE"/>
        </w:rPr>
        <w:t>: .............................................................</w:t>
      </w:r>
      <w:r>
        <w:rPr>
          <w:rFonts w:ascii="Arial" w:eastAsia="Arial" w:hAnsi="Arial" w:cs="Arial"/>
          <w:sz w:val="18"/>
          <w:szCs w:val="18"/>
          <w:lang w:val="de-DE"/>
        </w:rPr>
        <w:t>.........., ...</w:t>
      </w:r>
      <w:r w:rsidRPr="30FA5C21">
        <w:rPr>
          <w:rFonts w:ascii="Arial" w:eastAsia="Arial" w:hAnsi="Arial" w:cs="Arial"/>
          <w:sz w:val="18"/>
          <w:szCs w:val="18"/>
          <w:lang w:val="de-DE"/>
        </w:rPr>
        <w:t xml:space="preserve">/100), </w:t>
      </w:r>
      <w:r>
        <w:rPr>
          <w:rFonts w:ascii="Arial" w:eastAsia="Arial" w:hAnsi="Arial" w:cs="Arial"/>
          <w:sz w:val="18"/>
          <w:szCs w:val="18"/>
          <w:lang w:val="de-DE"/>
        </w:rPr>
        <w:t xml:space="preserve">          </w:t>
      </w:r>
      <w:r w:rsidRPr="30FA5C21">
        <w:rPr>
          <w:rFonts w:ascii="Arial" w:eastAsia="Arial" w:hAnsi="Arial" w:cs="Arial"/>
          <w:sz w:val="18"/>
          <w:szCs w:val="18"/>
        </w:rPr>
        <w:t>w tym:</w:t>
      </w:r>
      <w:r w:rsidRPr="004373C4">
        <w:rPr>
          <w:rStyle w:val="Odwoanieprzypisudolnego"/>
          <w:rFonts w:ascii="Arial" w:eastAsia="Arial" w:hAnsi="Arial" w:cs="Arial"/>
        </w:rPr>
        <w:footnoteReference w:id="5"/>
      </w:r>
      <w:r w:rsidRPr="004373C4">
        <w:rPr>
          <w:rFonts w:ascii="Arial" w:eastAsia="Arial" w:hAnsi="Arial" w:cs="Arial"/>
          <w:sz w:val="18"/>
          <w:szCs w:val="18"/>
          <w:vertAlign w:val="superscript"/>
        </w:rPr>
        <w:t>,</w:t>
      </w:r>
      <w:r w:rsidRPr="004373C4">
        <w:rPr>
          <w:rStyle w:val="Odwoanieprzypisudolnego"/>
          <w:rFonts w:ascii="Arial" w:eastAsia="Arial" w:hAnsi="Arial" w:cs="Arial"/>
        </w:rPr>
        <w:footnoteReference w:id="6"/>
      </w:r>
    </w:p>
    <w:p w:rsidR="00C522D5" w:rsidRPr="004373C4" w:rsidRDefault="00C522D5" w:rsidP="00C522D5">
      <w:pPr>
        <w:pStyle w:val="Akapitzlist"/>
        <w:widowControl/>
        <w:numPr>
          <w:ilvl w:val="0"/>
          <w:numId w:val="35"/>
        </w:numPr>
        <w:spacing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C522D5" w:rsidRPr="004373C4" w:rsidRDefault="00C522D5" w:rsidP="00C522D5">
      <w:pPr>
        <w:numPr>
          <w:ilvl w:val="0"/>
          <w:numId w:val="35"/>
        </w:numPr>
        <w:spacing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00C522D5" w:rsidRPr="004D59D7" w:rsidRDefault="00C522D5" w:rsidP="00C522D5">
      <w:pPr>
        <w:pStyle w:val="Akapitzlist"/>
        <w:widowControl/>
        <w:numPr>
          <w:ilvl w:val="0"/>
          <w:numId w:val="13"/>
        </w:numPr>
        <w:spacing w:after="160" w:line="276" w:lineRule="auto"/>
        <w:ind w:left="349" w:hanging="283"/>
        <w:jc w:val="both"/>
        <w:rPr>
          <w:sz w:val="18"/>
          <w:szCs w:val="18"/>
        </w:rPr>
      </w:pPr>
      <w:proofErr w:type="spellStart"/>
      <w:r w:rsidRPr="30FA5C21">
        <w:rPr>
          <w:rFonts w:ascii="Arial" w:eastAsia="Arial" w:hAnsi="Arial" w:cs="Arial"/>
          <w:sz w:val="18"/>
          <w:szCs w:val="18"/>
          <w:lang w:val="de-DE"/>
        </w:rPr>
        <w:t>Wynagrodzenie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 xml:space="preserve"> nie </w:t>
      </w:r>
      <w:proofErr w:type="spellStart"/>
      <w:r w:rsidRPr="30FA5C21">
        <w:rPr>
          <w:rFonts w:ascii="Arial" w:eastAsia="Arial" w:hAnsi="Arial" w:cs="Arial"/>
          <w:sz w:val="18"/>
          <w:szCs w:val="18"/>
          <w:lang w:val="de-DE"/>
        </w:rPr>
        <w:t>podlega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waloryzacji</w:t>
      </w:r>
      <w:proofErr w:type="spellEnd"/>
      <w:r w:rsidRPr="30FA5C21">
        <w:rPr>
          <w:rFonts w:ascii="Arial" w:eastAsia="Arial" w:hAnsi="Arial" w:cs="Arial"/>
          <w:sz w:val="18"/>
          <w:szCs w:val="18"/>
          <w:lang w:val="de-DE"/>
        </w:rPr>
        <w:t xml:space="preserve"> i </w:t>
      </w:r>
      <w:proofErr w:type="spellStart"/>
      <w:r w:rsidRPr="30FA5C21">
        <w:rPr>
          <w:rFonts w:ascii="Arial" w:eastAsia="Arial" w:hAnsi="Arial" w:cs="Arial"/>
          <w:sz w:val="18"/>
          <w:szCs w:val="18"/>
          <w:lang w:val="de-DE"/>
        </w:rPr>
        <w:t>zmianom</w:t>
      </w:r>
      <w:proofErr w:type="spellEnd"/>
      <w:r w:rsidRPr="30FA5C21">
        <w:rPr>
          <w:rFonts w:ascii="Arial" w:eastAsia="Arial" w:hAnsi="Arial" w:cs="Arial"/>
          <w:sz w:val="18"/>
          <w:szCs w:val="18"/>
          <w:lang w:val="de-DE"/>
        </w:rPr>
        <w:t xml:space="preserve">, z </w:t>
      </w:r>
      <w:proofErr w:type="spellStart"/>
      <w:r w:rsidRPr="30FA5C21">
        <w:rPr>
          <w:rFonts w:ascii="Arial" w:eastAsia="Arial" w:hAnsi="Arial" w:cs="Arial"/>
          <w:sz w:val="18"/>
          <w:szCs w:val="18"/>
          <w:lang w:val="de-DE"/>
        </w:rPr>
        <w:t>wyjątkiem</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przypadków</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opisanych</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niniejszej</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umowie</w:t>
      </w:r>
      <w:proofErr w:type="spellEnd"/>
      <w:r w:rsidRPr="30FA5C21">
        <w:rPr>
          <w:rFonts w:ascii="Arial" w:eastAsia="Arial" w:hAnsi="Arial" w:cs="Arial"/>
          <w:sz w:val="18"/>
          <w:szCs w:val="18"/>
          <w:lang w:val="de-DE"/>
        </w:rPr>
        <w:t>.</w:t>
      </w:r>
    </w:p>
    <w:p w:rsidR="00C522D5" w:rsidRPr="004D59D7" w:rsidRDefault="00C522D5" w:rsidP="00C522D5">
      <w:pPr>
        <w:pStyle w:val="Akapitzlist"/>
        <w:widowControl/>
        <w:numPr>
          <w:ilvl w:val="0"/>
          <w:numId w:val="13"/>
        </w:numPr>
        <w:spacing w:after="160" w:line="276" w:lineRule="auto"/>
        <w:ind w:left="349" w:hanging="283"/>
        <w:jc w:val="both"/>
        <w:rPr>
          <w:sz w:val="18"/>
          <w:szCs w:val="18"/>
        </w:rPr>
      </w:pPr>
      <w:proofErr w:type="spellStart"/>
      <w:r w:rsidRPr="004D59D7">
        <w:rPr>
          <w:rFonts w:ascii="Arial" w:eastAsia="Arial" w:hAnsi="Arial" w:cs="Arial"/>
          <w:sz w:val="18"/>
          <w:szCs w:val="18"/>
          <w:lang w:val="de-DE"/>
        </w:rPr>
        <w:t>Wynagrodzenie</w:t>
      </w:r>
      <w:proofErr w:type="spellEnd"/>
      <w:r w:rsidRPr="004D59D7">
        <w:rPr>
          <w:rFonts w:ascii="Arial" w:eastAsia="Arial" w:hAnsi="Arial" w:cs="Arial"/>
          <w:sz w:val="18"/>
          <w:szCs w:val="18"/>
          <w:lang w:val="de-DE"/>
        </w:rPr>
        <w:t xml:space="preserve">, </w:t>
      </w:r>
      <w:proofErr w:type="spellStart"/>
      <w:r w:rsidRPr="004D59D7">
        <w:rPr>
          <w:rFonts w:ascii="Arial" w:eastAsia="Arial" w:hAnsi="Arial" w:cs="Arial"/>
          <w:sz w:val="18"/>
          <w:szCs w:val="18"/>
          <w:lang w:val="de-DE"/>
        </w:rPr>
        <w:t>określone</w:t>
      </w:r>
      <w:proofErr w:type="spellEnd"/>
      <w:r w:rsidRPr="004D59D7">
        <w:rPr>
          <w:rFonts w:ascii="Arial" w:eastAsia="Arial" w:hAnsi="Arial" w:cs="Arial"/>
          <w:sz w:val="18"/>
          <w:szCs w:val="18"/>
          <w:lang w:val="de-DE"/>
        </w:rPr>
        <w:t xml:space="preserve"> w </w:t>
      </w:r>
      <w:proofErr w:type="spellStart"/>
      <w:r w:rsidRPr="004D59D7">
        <w:rPr>
          <w:rFonts w:ascii="Arial" w:eastAsia="Arial" w:hAnsi="Arial" w:cs="Arial"/>
          <w:sz w:val="18"/>
          <w:szCs w:val="18"/>
          <w:lang w:val="de-DE"/>
        </w:rPr>
        <w:t>ust</w:t>
      </w:r>
      <w:proofErr w:type="spellEnd"/>
      <w:r w:rsidRPr="004D59D7">
        <w:rPr>
          <w:rFonts w:ascii="Arial" w:eastAsia="Arial" w:hAnsi="Arial" w:cs="Arial"/>
          <w:sz w:val="18"/>
          <w:szCs w:val="18"/>
          <w:lang w:val="de-DE"/>
        </w:rPr>
        <w:t xml:space="preserve">. 1 </w:t>
      </w:r>
      <w:proofErr w:type="spellStart"/>
      <w:r w:rsidRPr="004D59D7">
        <w:rPr>
          <w:rFonts w:ascii="Arial" w:eastAsia="Arial" w:hAnsi="Arial" w:cs="Arial"/>
          <w:sz w:val="18"/>
          <w:szCs w:val="18"/>
          <w:lang w:val="de-DE"/>
        </w:rPr>
        <w:t>powyżej</w:t>
      </w:r>
      <w:proofErr w:type="spellEnd"/>
      <w:r w:rsidRPr="004D59D7">
        <w:rPr>
          <w:rFonts w:ascii="Arial" w:eastAsia="Arial" w:hAnsi="Arial" w:cs="Arial"/>
          <w:sz w:val="18"/>
          <w:szCs w:val="18"/>
          <w:lang w:val="de-DE"/>
        </w:rPr>
        <w:t xml:space="preserve"> </w:t>
      </w:r>
      <w:proofErr w:type="spellStart"/>
      <w:r w:rsidRPr="004D59D7">
        <w:rPr>
          <w:rFonts w:ascii="Arial" w:eastAsia="Arial" w:hAnsi="Arial" w:cs="Arial"/>
          <w:sz w:val="18"/>
          <w:szCs w:val="18"/>
          <w:lang w:val="de-DE"/>
        </w:rPr>
        <w:t>zawiera</w:t>
      </w:r>
      <w:proofErr w:type="spellEnd"/>
      <w:r w:rsidRPr="004D59D7">
        <w:rPr>
          <w:rFonts w:ascii="Arial" w:eastAsia="Arial" w:hAnsi="Arial" w:cs="Arial"/>
          <w:sz w:val="18"/>
          <w:szCs w:val="18"/>
        </w:rPr>
        <w:t xml:space="preserve"> wszelkie koszty poniesione w celu należytego wykonania zamówienia zgodnie z wymaganiami Zamawiającego zawartymi w </w:t>
      </w:r>
      <w:proofErr w:type="spellStart"/>
      <w:r>
        <w:rPr>
          <w:rFonts w:ascii="Arial" w:eastAsia="Arial" w:hAnsi="Arial" w:cs="Arial"/>
          <w:sz w:val="18"/>
          <w:szCs w:val="18"/>
        </w:rPr>
        <w:t>dokoumentacji</w:t>
      </w:r>
      <w:proofErr w:type="spellEnd"/>
      <w:r>
        <w:rPr>
          <w:rFonts w:ascii="Arial" w:eastAsia="Arial" w:hAnsi="Arial" w:cs="Arial"/>
          <w:sz w:val="18"/>
          <w:szCs w:val="18"/>
        </w:rPr>
        <w:t xml:space="preserve"> postępowania poprzedzającego zawarcie niniejszej umowy</w:t>
      </w:r>
      <w:r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Pr="004D59D7">
        <w:rPr>
          <w:rFonts w:ascii="Arial" w:eastAsia="Arial" w:hAnsi="Arial" w:cs="Arial"/>
          <w:color w:val="000000" w:themeColor="text1"/>
          <w:sz w:val="18"/>
          <w:szCs w:val="18"/>
        </w:rPr>
        <w:t xml:space="preserve">, w tym </w:t>
      </w:r>
      <w:r w:rsidRPr="004D59D7">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w:t>
      </w:r>
      <w:r w:rsidRPr="004D59D7">
        <w:rPr>
          <w:rFonts w:ascii="Arial" w:eastAsia="Arial" w:hAnsi="Arial" w:cs="Arial"/>
          <w:sz w:val="18"/>
          <w:szCs w:val="18"/>
        </w:rPr>
        <w:lastRenderedPageBreak/>
        <w:t xml:space="preserve">pomiarów i sprawdzeń, koszty uzyskania od właściwych organów oraz gestorów sieci odpowiednich zaświadczeń, w szczególności koszty odbioru urządzeń, koszty odbiorów (w tym dokonywanych przez gestorów sieci), sprawdzeń i </w:t>
      </w:r>
      <w:proofErr w:type="spellStart"/>
      <w:r w:rsidRPr="004D59D7">
        <w:rPr>
          <w:rFonts w:ascii="Arial" w:eastAsia="Arial" w:hAnsi="Arial" w:cs="Arial"/>
          <w:sz w:val="18"/>
          <w:szCs w:val="18"/>
        </w:rPr>
        <w:t>dopuszczeń</w:t>
      </w:r>
      <w:proofErr w:type="spellEnd"/>
      <w:r w:rsidRPr="004D59D7">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30FA5C21">
        <w:rPr>
          <w:rFonts w:ascii="Arial" w:eastAsia="Arial" w:hAnsi="Arial" w:cs="Arial"/>
          <w:sz w:val="18"/>
          <w:szCs w:val="18"/>
          <w:lang w:val="de-DE"/>
        </w:rPr>
        <w:t>Niedoszacowanie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pominięcie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lub</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brak</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rozpoznania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zakresu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zamówienia</w:t>
      </w:r>
      <w:proofErr w:type="spellEnd"/>
      <w:r w:rsidRPr="30FA5C21">
        <w:rPr>
          <w:rFonts w:ascii="Arial" w:eastAsia="Arial" w:hAnsi="Arial" w:cs="Arial"/>
          <w:sz w:val="18"/>
          <w:szCs w:val="18"/>
          <w:lang w:val="de-DE"/>
        </w:rPr>
        <w:t xml:space="preserve"> nie </w:t>
      </w:r>
      <w:proofErr w:type="spellStart"/>
      <w:r w:rsidRPr="30FA5C21">
        <w:rPr>
          <w:rFonts w:ascii="Arial" w:eastAsia="Arial" w:hAnsi="Arial" w:cs="Arial"/>
          <w:sz w:val="18"/>
          <w:szCs w:val="18"/>
          <w:lang w:val="de-DE"/>
        </w:rPr>
        <w:t>może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być</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podstawą</w:t>
      </w:r>
      <w:proofErr w:type="spellEnd"/>
      <w:r w:rsidRPr="30FA5C21">
        <w:rPr>
          <w:rFonts w:ascii="Arial" w:eastAsia="Arial" w:hAnsi="Arial" w:cs="Arial"/>
          <w:sz w:val="18"/>
          <w:szCs w:val="18"/>
          <w:lang w:val="de-DE"/>
        </w:rPr>
        <w:t xml:space="preserve"> do </w:t>
      </w:r>
      <w:proofErr w:type="spellStart"/>
      <w:r w:rsidRPr="30FA5C21">
        <w:rPr>
          <w:rFonts w:ascii="Arial" w:eastAsia="Arial" w:hAnsi="Arial" w:cs="Arial"/>
          <w:sz w:val="18"/>
          <w:szCs w:val="18"/>
          <w:lang w:val="de-DE"/>
        </w:rPr>
        <w:t>żądania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podwyższenia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wynagrodzenia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ryczałtowego</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określonego</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ust</w:t>
      </w:r>
      <w:proofErr w:type="spellEnd"/>
      <w:r w:rsidRPr="30FA5C21">
        <w:rPr>
          <w:rFonts w:ascii="Arial" w:eastAsia="Arial" w:hAnsi="Arial" w:cs="Arial"/>
          <w:sz w:val="18"/>
          <w:szCs w:val="18"/>
          <w:lang w:val="de-DE"/>
        </w:rPr>
        <w:t xml:space="preserve">. 1 </w:t>
      </w:r>
      <w:proofErr w:type="spellStart"/>
      <w:r w:rsidRPr="30FA5C21">
        <w:rPr>
          <w:rFonts w:ascii="Arial" w:eastAsia="Arial" w:hAnsi="Arial" w:cs="Arial"/>
          <w:sz w:val="18"/>
          <w:szCs w:val="18"/>
          <w:lang w:val="de-DE"/>
        </w:rPr>
        <w:t>powyżej</w:t>
      </w:r>
      <w:proofErr w:type="spellEnd"/>
      <w:r w:rsidRPr="30FA5C21">
        <w:rPr>
          <w:rFonts w:ascii="Arial" w:eastAsia="Arial" w:hAnsi="Arial" w:cs="Arial"/>
          <w:sz w:val="18"/>
          <w:szCs w:val="18"/>
          <w:lang w:val="de-DE"/>
        </w:rPr>
        <w:t>.</w:t>
      </w:r>
    </w:p>
    <w:p w:rsidR="00C522D5" w:rsidRPr="003469A7"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00343F15">
        <w:rPr>
          <w:rFonts w:ascii="Arial" w:eastAsia="Arial" w:hAnsi="Arial" w:cs="Arial"/>
          <w:sz w:val="18"/>
          <w:szCs w:val="18"/>
          <w:lang w:val="de-DE"/>
        </w:rPr>
        <w:t>Zapłata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wynagrodzenia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nastąpi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faktycznym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wykonaniu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robót</w:t>
      </w:r>
      <w:proofErr w:type="spellEnd"/>
      <w:r w:rsidRPr="00343F15">
        <w:rPr>
          <w:rFonts w:ascii="Arial" w:eastAsia="Arial" w:hAnsi="Arial" w:cs="Arial"/>
          <w:sz w:val="18"/>
          <w:szCs w:val="18"/>
          <w:lang w:val="de-DE"/>
        </w:rPr>
        <w:t>/</w:t>
      </w:r>
      <w:proofErr w:type="spellStart"/>
      <w:r w:rsidRPr="00343F15">
        <w:rPr>
          <w:rFonts w:ascii="Arial" w:eastAsia="Arial" w:hAnsi="Arial" w:cs="Arial"/>
          <w:sz w:val="18"/>
          <w:szCs w:val="18"/>
          <w:lang w:val="de-DE"/>
        </w:rPr>
        <w:t>usług</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potwierdzonych</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protokołem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odbioru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przerobowego</w:t>
      </w:r>
      <w:proofErr w:type="spellEnd"/>
      <w:r w:rsidRPr="00343F15">
        <w:rPr>
          <w:rFonts w:ascii="Arial" w:eastAsia="Arial" w:hAnsi="Arial" w:cs="Arial"/>
          <w:sz w:val="18"/>
          <w:szCs w:val="18"/>
          <w:lang w:val="de-DE"/>
        </w:rPr>
        <w:t>/</w:t>
      </w:r>
      <w:proofErr w:type="spellStart"/>
      <w:r w:rsidRPr="00343F15">
        <w:rPr>
          <w:rFonts w:ascii="Arial" w:eastAsia="Arial" w:hAnsi="Arial" w:cs="Arial"/>
          <w:sz w:val="18"/>
          <w:szCs w:val="18"/>
          <w:lang w:val="de-DE"/>
        </w:rPr>
        <w:t>końcowego</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podpisanym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przez</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upoważnionych</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przedstawicieli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Stron</w:t>
      </w:r>
      <w:proofErr w:type="spellEnd"/>
    </w:p>
    <w:p w:rsidR="00C522D5" w:rsidRPr="00343F15" w:rsidRDefault="00C522D5" w:rsidP="00C522D5">
      <w:pPr>
        <w:pStyle w:val="Akapitzlist"/>
        <w:widowControl/>
        <w:numPr>
          <w:ilvl w:val="0"/>
          <w:numId w:val="13"/>
        </w:numPr>
        <w:spacing w:after="160" w:line="276" w:lineRule="auto"/>
        <w:ind w:left="360"/>
        <w:jc w:val="both"/>
        <w:rPr>
          <w:rFonts w:eastAsiaTheme="minorEastAsia"/>
          <w:sz w:val="18"/>
          <w:szCs w:val="18"/>
        </w:rPr>
      </w:pPr>
      <w:r w:rsidRPr="00343F15">
        <w:rPr>
          <w:rFonts w:ascii="Arial" w:eastAsia="Arial" w:hAnsi="Arial" w:cs="Arial"/>
          <w:sz w:val="18"/>
          <w:szCs w:val="18"/>
          <w:lang w:val="de-DE"/>
        </w:rPr>
        <w:t xml:space="preserve">W </w:t>
      </w:r>
      <w:proofErr w:type="spellStart"/>
      <w:r w:rsidRPr="00343F15">
        <w:rPr>
          <w:rFonts w:ascii="Arial" w:eastAsia="Arial" w:hAnsi="Arial" w:cs="Arial"/>
          <w:sz w:val="18"/>
          <w:szCs w:val="18"/>
          <w:lang w:val="de-DE"/>
        </w:rPr>
        <w:t>przypadku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odstąpienia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umowy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Wykonawcy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przysługuje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wynagrodzenie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odpowiadające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stopniowi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zaawansowania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robót</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stwierdzone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protokołem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sporządzonym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udziale</w:t>
      </w:r>
      <w:proofErr w:type="spellEnd"/>
      <w:r w:rsidRPr="00343F15">
        <w:rPr>
          <w:rFonts w:ascii="Arial" w:eastAsia="Arial" w:hAnsi="Arial" w:cs="Arial"/>
          <w:sz w:val="18"/>
          <w:szCs w:val="18"/>
          <w:lang w:val="de-DE"/>
        </w:rPr>
        <w:t xml:space="preserve"> </w:t>
      </w:r>
      <w:proofErr w:type="spellStart"/>
      <w:r>
        <w:rPr>
          <w:rFonts w:ascii="Arial" w:eastAsia="Arial" w:hAnsi="Arial" w:cs="Arial"/>
          <w:sz w:val="18"/>
          <w:szCs w:val="18"/>
          <w:lang w:val="de-DE"/>
        </w:rPr>
        <w:t>inspektora</w:t>
      </w:r>
      <w:proofErr w:type="spellEnd"/>
      <w:r>
        <w:rPr>
          <w:rFonts w:ascii="Arial" w:eastAsia="Arial" w:hAnsi="Arial" w:cs="Arial"/>
          <w:sz w:val="18"/>
          <w:szCs w:val="18"/>
          <w:lang w:val="de-DE"/>
        </w:rPr>
        <w:t xml:space="preserve"> </w:t>
      </w:r>
      <w:proofErr w:type="spellStart"/>
      <w:r>
        <w:rPr>
          <w:rFonts w:ascii="Arial" w:eastAsia="Arial" w:hAnsi="Arial" w:cs="Arial"/>
          <w:sz w:val="18"/>
          <w:szCs w:val="18"/>
          <w:lang w:val="de-DE"/>
        </w:rPr>
        <w:t>nadzoru</w:t>
      </w:r>
      <w:proofErr w:type="spellEnd"/>
      <w:r w:rsidRPr="00343F15">
        <w:rPr>
          <w:rFonts w:ascii="Arial" w:eastAsia="Arial" w:hAnsi="Arial" w:cs="Arial"/>
          <w:sz w:val="18"/>
          <w:szCs w:val="18"/>
          <w:lang w:val="de-DE"/>
        </w:rPr>
        <w:t>.</w:t>
      </w:r>
    </w:p>
    <w:p w:rsidR="00C522D5" w:rsidRDefault="00C522D5" w:rsidP="00C522D5">
      <w:pPr>
        <w:pStyle w:val="Akapitzlist"/>
        <w:widowControl/>
        <w:numPr>
          <w:ilvl w:val="0"/>
          <w:numId w:val="13"/>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 na podstawie faktur częściowych oraz faktury końcowej, do kwoty stanowiącej nie więcej niż 90% wartości umowy. Pozostała kwota wynagrodzenia tj. 10 %, w tym za usługę obejmującą uzyskanie w imieniu Zamawiającego prawomocnego pozwolenia na użytkowanie obiektu, wypłacona zostanie na podstawie faktury końcowej, po dokonaniu odbioru końcowego całości zamówienia, potwierdzonego stosownym protokołem odbioru.</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robót potwierdzonego przez </w:t>
      </w:r>
      <w:r>
        <w:rPr>
          <w:rFonts w:ascii="Arial" w:eastAsia="Arial" w:hAnsi="Arial" w:cs="Arial"/>
          <w:sz w:val="18"/>
          <w:szCs w:val="18"/>
        </w:rPr>
        <w:t>inspektora nadzoru</w:t>
      </w:r>
      <w:r w:rsidRPr="795F9214">
        <w:rPr>
          <w:rFonts w:ascii="Arial" w:eastAsia="Arial" w:hAnsi="Arial" w:cs="Arial"/>
          <w:sz w:val="18"/>
          <w:szCs w:val="18"/>
        </w:rPr>
        <w:t xml:space="preserve"> oraz Zamawiającego protokołem przerobowym.</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Warunkiem podpisania przez Zamaw</w:t>
      </w:r>
      <w:r>
        <w:rPr>
          <w:rFonts w:ascii="Arial" w:eastAsia="Arial" w:hAnsi="Arial" w:cs="Arial"/>
          <w:sz w:val="18"/>
          <w:szCs w:val="18"/>
        </w:rPr>
        <w:t xml:space="preserve">iającego protokołu przerobowego </w:t>
      </w:r>
      <w:r w:rsidRPr="795F9214">
        <w:rPr>
          <w:rFonts w:ascii="Arial" w:eastAsia="Arial" w:hAnsi="Arial" w:cs="Arial"/>
          <w:sz w:val="18"/>
          <w:szCs w:val="18"/>
        </w:rPr>
        <w:t>jest dostarczenie przez Wykonawcę odpowiednich protokołów odbioru (przerobowych) tych</w:t>
      </w:r>
      <w:r>
        <w:rPr>
          <w:rFonts w:ascii="Arial" w:eastAsia="Arial" w:hAnsi="Arial" w:cs="Arial"/>
          <w:sz w:val="18"/>
          <w:szCs w:val="18"/>
        </w:rPr>
        <w:t xml:space="preserve"> samych</w:t>
      </w:r>
      <w:r w:rsidRPr="795F9214">
        <w:rPr>
          <w:rFonts w:ascii="Arial" w:eastAsia="Arial" w:hAnsi="Arial" w:cs="Arial"/>
          <w:sz w:val="18"/>
          <w:szCs w:val="18"/>
        </w:rPr>
        <w:t xml:space="preserve"> robót</w:t>
      </w:r>
      <w:r>
        <w:rPr>
          <w:rFonts w:ascii="Arial" w:eastAsia="Arial" w:hAnsi="Arial" w:cs="Arial"/>
          <w:sz w:val="18"/>
          <w:szCs w:val="18"/>
        </w:rPr>
        <w:t xml:space="preserve"> przeprowadzonych pomiędzy Wykonawcą a podwykonawcami i podwykonawcami, a dalszymi podwykonawcami</w:t>
      </w:r>
      <w:r w:rsidRPr="795F9214">
        <w:rPr>
          <w:rFonts w:ascii="Arial" w:eastAsia="Arial" w:hAnsi="Arial" w:cs="Arial"/>
          <w:sz w:val="18"/>
          <w:szCs w:val="18"/>
        </w:rPr>
        <w:t xml:space="preserve"> wraz z wystawionymi na ich podstawie dokumentami księgowymi (np. faktura VAT, rachunek, itp.)</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przelewem</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rachunek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bankowy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wskazany</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fakturze</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do 30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doręczenia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prawidłowo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sporządzonej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faktury</w:t>
      </w:r>
      <w:proofErr w:type="spellEnd"/>
      <w:r w:rsidRPr="795F9214">
        <w:rPr>
          <w:rFonts w:ascii="Arial" w:eastAsia="Arial" w:hAnsi="Arial" w:cs="Arial"/>
          <w:sz w:val="18"/>
          <w:szCs w:val="18"/>
          <w:lang w:val="de-DE"/>
        </w:rPr>
        <w:t xml:space="preserve">. </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przyjmuje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się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obciążenia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rachunku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bankowego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w:t>
      </w:r>
    </w:p>
    <w:p w:rsidR="00C522D5" w:rsidRPr="00076111"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00C522D5" w:rsidRPr="00076111" w:rsidRDefault="00C522D5" w:rsidP="00C522D5">
      <w:pPr>
        <w:pStyle w:val="Akapitzlist"/>
        <w:widowControl/>
        <w:numPr>
          <w:ilvl w:val="0"/>
          <w:numId w:val="13"/>
        </w:numPr>
        <w:spacing w:after="160" w:line="276" w:lineRule="auto"/>
        <w:ind w:left="360"/>
        <w:jc w:val="both"/>
        <w:rPr>
          <w:rFonts w:eastAsiaTheme="minorEastAsia"/>
          <w:sz w:val="18"/>
          <w:szCs w:val="18"/>
        </w:rPr>
      </w:pPr>
      <w:r w:rsidRPr="00076111">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 xml:space="preserve">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w:t>
      </w:r>
      <w:proofErr w:type="spellStart"/>
      <w:r w:rsidRPr="00F71849">
        <w:rPr>
          <w:rFonts w:ascii="Arial" w:eastAsia="Arial" w:hAnsi="Arial" w:cs="Arial"/>
          <w:sz w:val="18"/>
          <w:szCs w:val="18"/>
        </w:rPr>
        <w:t>płatnościlub</w:t>
      </w:r>
      <w:proofErr w:type="spellEnd"/>
      <w:r w:rsidRPr="00F71849">
        <w:rPr>
          <w:rFonts w:ascii="Arial" w:eastAsia="Arial" w:hAnsi="Arial" w:cs="Arial"/>
          <w:sz w:val="18"/>
          <w:szCs w:val="18"/>
        </w:rPr>
        <w:t xml:space="preserve"> kar umownych na rzecz Wykonawcy.</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Pr>
          <w:rFonts w:ascii="Arial" w:eastAsia="Arial" w:hAnsi="Arial" w:cs="Arial"/>
          <w:sz w:val="18"/>
          <w:szCs w:val="18"/>
        </w:rPr>
        <w:t>20</w:t>
      </w:r>
      <w:r w:rsidRPr="00F71849">
        <w:rPr>
          <w:rFonts w:ascii="Arial" w:eastAsia="Arial" w:hAnsi="Arial" w:cs="Arial"/>
          <w:sz w:val="18"/>
          <w:szCs w:val="18"/>
        </w:rPr>
        <w:t xml:space="preserve"> r. poz. </w:t>
      </w:r>
      <w:r>
        <w:rPr>
          <w:rFonts w:ascii="Arial" w:eastAsia="Arial" w:hAnsi="Arial" w:cs="Arial"/>
          <w:sz w:val="18"/>
          <w:szCs w:val="18"/>
        </w:rPr>
        <w:t>106</w:t>
      </w:r>
      <w:r w:rsidRPr="00F71849">
        <w:rPr>
          <w:rFonts w:ascii="Arial" w:eastAsia="Arial" w:hAnsi="Arial" w:cs="Arial"/>
          <w:sz w:val="18"/>
          <w:szCs w:val="18"/>
        </w:rPr>
        <w:t xml:space="preserve">, z </w:t>
      </w:r>
      <w:proofErr w:type="spellStart"/>
      <w:r w:rsidRPr="00F71849">
        <w:rPr>
          <w:rFonts w:ascii="Arial" w:eastAsia="Arial" w:hAnsi="Arial" w:cs="Arial"/>
          <w:sz w:val="18"/>
          <w:szCs w:val="18"/>
        </w:rPr>
        <w:t>późn</w:t>
      </w:r>
      <w:proofErr w:type="spellEnd"/>
      <w:r w:rsidRPr="00F71849">
        <w:rPr>
          <w:rFonts w:ascii="Arial" w:eastAsia="Arial" w:hAnsi="Arial" w:cs="Arial"/>
          <w:sz w:val="18"/>
          <w:szCs w:val="18"/>
        </w:rPr>
        <w:t>. zm.).</w:t>
      </w:r>
      <w:r>
        <w:rPr>
          <w:rStyle w:val="Odwoanieprzypisudolnego"/>
          <w:rFonts w:ascii="Arial" w:eastAsia="Arial" w:hAnsi="Arial" w:cs="Arial"/>
        </w:rPr>
        <w:footnoteReference w:id="7"/>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lang w:val="de-DE"/>
        </w:rPr>
        <w:lastRenderedPageBreak/>
        <w:t xml:space="preserve">W </w:t>
      </w:r>
      <w:proofErr w:type="spellStart"/>
      <w:r w:rsidRPr="00F71849">
        <w:rPr>
          <w:rFonts w:ascii="Arial" w:eastAsia="Arial" w:hAnsi="Arial" w:cs="Arial"/>
          <w:sz w:val="18"/>
          <w:szCs w:val="18"/>
          <w:lang w:val="de-DE"/>
        </w:rPr>
        <w:t>razie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opóźnienia</w:t>
      </w:r>
      <w:proofErr w:type="spellEnd"/>
      <w:r w:rsidRPr="00F71849">
        <w:rPr>
          <w:rFonts w:ascii="Arial" w:eastAsia="Arial" w:hAnsi="Arial" w:cs="Arial"/>
          <w:sz w:val="18"/>
          <w:szCs w:val="18"/>
          <w:lang w:val="de-DE"/>
        </w:rPr>
        <w:t xml:space="preserve"> w </w:t>
      </w:r>
      <w:proofErr w:type="spellStart"/>
      <w:r w:rsidRPr="00F71849">
        <w:rPr>
          <w:rFonts w:ascii="Arial" w:eastAsia="Arial" w:hAnsi="Arial" w:cs="Arial"/>
          <w:sz w:val="18"/>
          <w:szCs w:val="18"/>
          <w:lang w:val="de-DE"/>
        </w:rPr>
        <w:t>płatności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ma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prawo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żądać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566A4F">
        <w:rPr>
          <w:rFonts w:ascii="Arial" w:eastAsia="Arial" w:hAnsi="Arial" w:cs="Arial"/>
          <w:sz w:val="18"/>
          <w:szCs w:val="18"/>
          <w:lang w:val="de-DE"/>
        </w:rPr>
        <w:t xml:space="preserve"> </w:t>
      </w:r>
      <w:r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xml:space="preserve">, z </w:t>
      </w:r>
      <w:proofErr w:type="spellStart"/>
      <w:r w:rsidRPr="00F71849">
        <w:rPr>
          <w:rFonts w:ascii="Arial" w:eastAsia="Arial" w:hAnsi="Arial" w:cs="Arial"/>
          <w:sz w:val="18"/>
          <w:szCs w:val="18"/>
          <w:lang w:val="de-DE"/>
        </w:rPr>
        <w:t>zastrzeżeniem</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ust</w:t>
      </w:r>
      <w:proofErr w:type="spellEnd"/>
      <w:r w:rsidRPr="00F71849">
        <w:rPr>
          <w:rFonts w:ascii="Arial" w:eastAsia="Arial" w:hAnsi="Arial" w:cs="Arial"/>
          <w:sz w:val="18"/>
          <w:szCs w:val="18"/>
          <w:lang w:val="de-DE"/>
        </w:rPr>
        <w:t>. 16.</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r w:rsidRPr="795F9214">
        <w:rPr>
          <w:rFonts w:ascii="Arial" w:eastAsia="Arial" w:hAnsi="Arial" w:cs="Arial"/>
          <w:sz w:val="18"/>
          <w:szCs w:val="18"/>
          <w:lang w:val="de-DE"/>
        </w:rPr>
        <w:t xml:space="preserve">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realizacji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udziałem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zobowiązani</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podstawie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doręczonych</w:t>
      </w:r>
      <w:proofErr w:type="spellEnd"/>
      <w:r w:rsidRPr="795F9214">
        <w:rPr>
          <w:rFonts w:ascii="Arial" w:eastAsia="Arial" w:hAnsi="Arial" w:cs="Arial"/>
          <w:sz w:val="18"/>
          <w:szCs w:val="18"/>
          <w:lang w:val="de-DE"/>
        </w:rPr>
        <w:t xml:space="preserve"> im </w:t>
      </w:r>
      <w:proofErr w:type="spellStart"/>
      <w:r w:rsidRPr="795F9214">
        <w:rPr>
          <w:rFonts w:ascii="Arial" w:eastAsia="Arial" w:hAnsi="Arial" w:cs="Arial"/>
          <w:sz w:val="18"/>
          <w:szCs w:val="18"/>
          <w:lang w:val="de-DE"/>
        </w:rPr>
        <w:t>rachunków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faktur</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własnym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zakresie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odebrane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roboty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usługi</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zachowaniem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określonych</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umowie</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podwykonawcą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podwykonawcą</w:t>
      </w:r>
      <w:proofErr w:type="spellEnd"/>
      <w:r w:rsidRPr="795F9214">
        <w:rPr>
          <w:rFonts w:ascii="Arial" w:eastAsia="Arial" w:hAnsi="Arial" w:cs="Arial"/>
          <w:sz w:val="18"/>
          <w:szCs w:val="18"/>
          <w:lang w:val="de-DE"/>
        </w:rPr>
        <w:t>.</w:t>
      </w:r>
    </w:p>
    <w:p w:rsidR="00C522D5" w:rsidRPr="002E71F3"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Najpóźniej</w:t>
      </w:r>
      <w:proofErr w:type="spellEnd"/>
      <w:r w:rsidRPr="795F9214">
        <w:rPr>
          <w:rFonts w:ascii="Arial" w:eastAsia="Arial" w:hAnsi="Arial" w:cs="Arial"/>
          <w:sz w:val="18"/>
          <w:szCs w:val="18"/>
          <w:lang w:val="de-DE"/>
        </w:rPr>
        <w:t xml:space="preserve"> na </w:t>
      </w:r>
      <w:proofErr w:type="spellStart"/>
      <w:r>
        <w:rPr>
          <w:rFonts w:ascii="Arial" w:eastAsia="Arial" w:hAnsi="Arial" w:cs="Arial"/>
          <w:sz w:val="18"/>
          <w:szCs w:val="18"/>
          <w:lang w:val="de-DE"/>
        </w:rPr>
        <w:t>czternaście</w:t>
      </w:r>
      <w:proofErr w:type="spellEnd"/>
      <w:r>
        <w:rPr>
          <w:rFonts w:ascii="Arial" w:eastAsia="Arial" w:hAnsi="Arial" w:cs="Arial"/>
          <w:sz w:val="18"/>
          <w:szCs w:val="18"/>
          <w:lang w:val="de-DE"/>
        </w:rPr>
        <w:t xml:space="preserve"> (</w:t>
      </w:r>
      <w:r w:rsidRPr="795F9214">
        <w:rPr>
          <w:rFonts w:ascii="Arial" w:eastAsia="Arial" w:hAnsi="Arial" w:cs="Arial"/>
          <w:sz w:val="18"/>
          <w:szCs w:val="18"/>
          <w:lang w:val="de-DE"/>
        </w:rPr>
        <w:t>14</w:t>
      </w:r>
      <w:r>
        <w:rPr>
          <w:rFonts w:ascii="Arial" w:eastAsia="Arial" w:hAnsi="Arial" w:cs="Arial"/>
          <w:sz w:val="18"/>
          <w:szCs w:val="18"/>
          <w:lang w:val="de-DE"/>
        </w:rPr>
        <w:t>)</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upływem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którym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mowa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ust</w:t>
      </w:r>
      <w:proofErr w:type="spellEnd"/>
      <w:r w:rsidRPr="795F9214">
        <w:rPr>
          <w:rFonts w:ascii="Arial" w:eastAsia="Arial" w:hAnsi="Arial" w:cs="Arial"/>
          <w:sz w:val="18"/>
          <w:szCs w:val="18"/>
          <w:lang w:val="de-DE"/>
        </w:rPr>
        <w:t xml:space="preserve">. 11,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dostarczy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niebudzące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wątpliwości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czytelne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kopie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dokumentów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księgowych</w:t>
      </w:r>
      <w:proofErr w:type="spellEnd"/>
      <w:r w:rsidRPr="795F9214">
        <w:rPr>
          <w:rFonts w:ascii="Arial" w:eastAsia="Arial" w:hAnsi="Arial" w:cs="Arial"/>
          <w:sz w:val="18"/>
          <w:szCs w:val="18"/>
          <w:lang w:val="de-DE"/>
        </w:rPr>
        <w:t xml:space="preserve"> - </w:t>
      </w:r>
      <w:proofErr w:type="spellStart"/>
      <w:r w:rsidRPr="795F9214">
        <w:rPr>
          <w:rFonts w:ascii="Arial" w:eastAsia="Arial" w:hAnsi="Arial" w:cs="Arial"/>
          <w:sz w:val="18"/>
          <w:szCs w:val="18"/>
          <w:lang w:val="de-DE"/>
        </w:rPr>
        <w:t>faktur</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potwierdzeń</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przelewu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rachunków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itp</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potwierdzające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wymagalnego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oraz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oświadczenie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dokonaniu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Niezłożenie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wymaganym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skutkować</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będzie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wstrzymaniem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równej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sumie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kwot</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wynikających</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nieprzedstawionych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czasu</w:t>
      </w:r>
      <w:proofErr w:type="spellEnd"/>
      <w:r w:rsidRPr="795F9214">
        <w:rPr>
          <w:rFonts w:ascii="Arial" w:eastAsia="Arial" w:hAnsi="Arial" w:cs="Arial"/>
          <w:sz w:val="18"/>
          <w:szCs w:val="18"/>
          <w:lang w:val="de-DE"/>
        </w:rPr>
        <w:t xml:space="preserve"> ich </w:t>
      </w:r>
      <w:proofErr w:type="spellStart"/>
      <w:r w:rsidRPr="795F9214">
        <w:rPr>
          <w:rFonts w:ascii="Arial" w:eastAsia="Arial" w:hAnsi="Arial" w:cs="Arial"/>
          <w:sz w:val="18"/>
          <w:szCs w:val="18"/>
          <w:lang w:val="de-DE"/>
        </w:rPr>
        <w:t>przedłożenia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wstrzymanej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nastąpi</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do 7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przedstawienia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Zamawiajacemu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przedłożenie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może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stanowić</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podstawy</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dochodzenia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odsetek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niewypłaconego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w:t>
      </w:r>
    </w:p>
    <w:p w:rsidR="00C522D5" w:rsidRPr="002E71F3" w:rsidRDefault="00C522D5" w:rsidP="00C522D5">
      <w:pPr>
        <w:pStyle w:val="Akapitzlist"/>
        <w:widowControl/>
        <w:numPr>
          <w:ilvl w:val="0"/>
          <w:numId w:val="13"/>
        </w:numPr>
        <w:spacing w:after="160" w:line="276" w:lineRule="auto"/>
        <w:ind w:left="360"/>
        <w:jc w:val="both"/>
        <w:rPr>
          <w:rFonts w:ascii="Arial" w:hAnsi="Arial" w:cs="Arial"/>
          <w:sz w:val="18"/>
          <w:szCs w:val="18"/>
        </w:rPr>
      </w:pPr>
      <w:r w:rsidRPr="002E71F3">
        <w:rPr>
          <w:rFonts w:ascii="Arial" w:eastAsia="Arial" w:hAnsi="Arial" w:cs="Arial"/>
          <w:sz w:val="18"/>
          <w:szCs w:val="18"/>
          <w:lang w:val="de-DE"/>
        </w:rPr>
        <w:t xml:space="preserve">W </w:t>
      </w:r>
      <w:proofErr w:type="spellStart"/>
      <w:r w:rsidRPr="002E71F3">
        <w:rPr>
          <w:rFonts w:ascii="Arial" w:eastAsia="Arial" w:hAnsi="Arial" w:cs="Arial"/>
          <w:sz w:val="18"/>
          <w:szCs w:val="18"/>
          <w:lang w:val="de-DE"/>
        </w:rPr>
        <w:t>przypadku</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gdy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zakres</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odebranych</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podwykonawcy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robót</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stanowi</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rozliczenie</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końcowe</w:t>
      </w:r>
      <w:proofErr w:type="spellEnd"/>
      <w:r w:rsidRPr="002E71F3">
        <w:rPr>
          <w:rFonts w:ascii="Arial" w:eastAsia="Arial" w:hAnsi="Arial" w:cs="Arial"/>
          <w:sz w:val="18"/>
          <w:szCs w:val="18"/>
          <w:lang w:val="de-DE"/>
        </w:rPr>
        <w:t xml:space="preserve"> z </w:t>
      </w:r>
      <w:proofErr w:type="spellStart"/>
      <w:r w:rsidRPr="002E71F3">
        <w:rPr>
          <w:rFonts w:ascii="Arial" w:eastAsia="Arial" w:hAnsi="Arial" w:cs="Arial"/>
          <w:sz w:val="18"/>
          <w:szCs w:val="18"/>
          <w:lang w:val="de-DE"/>
        </w:rPr>
        <w:t>tym</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podwykonawcą</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to</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Wykonawca</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zobowiązany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jest</w:t>
      </w:r>
      <w:proofErr w:type="spellEnd"/>
      <w:r w:rsidRPr="002E71F3">
        <w:rPr>
          <w:rFonts w:ascii="Arial" w:eastAsia="Arial" w:hAnsi="Arial" w:cs="Arial"/>
          <w:sz w:val="18"/>
          <w:szCs w:val="18"/>
          <w:lang w:val="de-DE"/>
        </w:rPr>
        <w:t xml:space="preserve">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wymagalnego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przysługującego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zawarł</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zaakceptowaną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umowę</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roboty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budowlane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zawarł</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przedłożoną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umowę</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usługi</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uchylenia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się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obowiązku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odpowiednio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warunkiem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że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w:t>
      </w:r>
      <w:proofErr w:type="spellStart"/>
      <w:r>
        <w:rPr>
          <w:rFonts w:ascii="Arial" w:eastAsia="Arial" w:hAnsi="Arial" w:cs="Arial"/>
          <w:sz w:val="18"/>
          <w:szCs w:val="18"/>
          <w:lang w:val="de-DE"/>
        </w:rPr>
        <w:t>siedmiu</w:t>
      </w:r>
      <w:proofErr w:type="spellEnd"/>
      <w:r>
        <w:rPr>
          <w:rFonts w:ascii="Arial" w:eastAsia="Arial" w:hAnsi="Arial" w:cs="Arial"/>
          <w:sz w:val="18"/>
          <w:szCs w:val="18"/>
          <w:lang w:val="de-DE"/>
        </w:rPr>
        <w:t xml:space="preserve">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poinformowania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go</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powyższym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fakcie</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zgłosi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formie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pisemnej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uwag</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dotyczących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zasadności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potrąci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kwotę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wypłaconego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Wynagrodzenie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będzie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dotyczyło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wyłącznie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powstałych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zaakceptowaniu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umowy</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obejmie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wyłącznie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odsetek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podwykonawcom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podwykonawcom</w:t>
      </w:r>
      <w:proofErr w:type="spellEnd"/>
      <w:r w:rsidRPr="795F9214">
        <w:rPr>
          <w:rFonts w:ascii="Arial" w:eastAsia="Arial" w:hAnsi="Arial" w:cs="Arial"/>
          <w:sz w:val="18"/>
          <w:szCs w:val="18"/>
          <w:lang w:val="de-DE"/>
        </w:rPr>
        <w:t>.</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r w:rsidRPr="795F9214">
        <w:rPr>
          <w:rFonts w:ascii="Arial" w:eastAsia="Arial" w:hAnsi="Arial" w:cs="Arial"/>
          <w:sz w:val="18"/>
          <w:szCs w:val="18"/>
          <w:lang w:val="de-DE"/>
        </w:rPr>
        <w:t xml:space="preserve">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zgłoszenia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którym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mowa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ust</w:t>
      </w:r>
      <w:proofErr w:type="spellEnd"/>
      <w:r w:rsidRPr="795F9214">
        <w:rPr>
          <w:rFonts w:ascii="Arial" w:eastAsia="Arial" w:hAnsi="Arial" w:cs="Arial"/>
          <w:sz w:val="18"/>
          <w:szCs w:val="18"/>
          <w:lang w:val="de-DE"/>
        </w:rPr>
        <w:t>. 2</w:t>
      </w:r>
      <w:r>
        <w:rPr>
          <w:rFonts w:ascii="Arial" w:eastAsia="Arial" w:hAnsi="Arial" w:cs="Arial"/>
          <w:sz w:val="18"/>
          <w:szCs w:val="18"/>
          <w:lang w:val="de-DE"/>
        </w:rPr>
        <w:t>2</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powyżej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uwag</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zakresie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zasadności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może</w:t>
      </w:r>
      <w:proofErr w:type="spellEnd"/>
      <w:r w:rsidRPr="795F9214">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r w:rsidRPr="00F71849">
        <w:rPr>
          <w:rFonts w:ascii="Arial" w:eastAsia="Arial" w:hAnsi="Arial" w:cs="Arial"/>
          <w:sz w:val="18"/>
          <w:szCs w:val="18"/>
          <w:lang w:val="de-DE"/>
        </w:rPr>
        <w:t xml:space="preserve">nie </w:t>
      </w:r>
      <w:proofErr w:type="spellStart"/>
      <w:r w:rsidRPr="00F71849">
        <w:rPr>
          <w:rFonts w:ascii="Arial" w:eastAsia="Arial" w:hAnsi="Arial" w:cs="Arial"/>
          <w:sz w:val="18"/>
          <w:szCs w:val="18"/>
          <w:lang w:val="de-DE"/>
        </w:rPr>
        <w:t>dokonać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bezpośredniej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jeżeli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wykaże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niezasadność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takiej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proofErr w:type="spellStart"/>
      <w:r w:rsidRPr="00F71849">
        <w:rPr>
          <w:rFonts w:ascii="Arial" w:eastAsia="Arial" w:hAnsi="Arial" w:cs="Arial"/>
          <w:sz w:val="18"/>
          <w:szCs w:val="18"/>
          <w:lang w:val="de-DE"/>
        </w:rPr>
        <w:t>złożyć</w:t>
      </w:r>
      <w:proofErr w:type="spellEnd"/>
      <w:r w:rsidRPr="00F71849">
        <w:rPr>
          <w:rFonts w:ascii="Arial" w:eastAsia="Arial" w:hAnsi="Arial" w:cs="Arial"/>
          <w:sz w:val="18"/>
          <w:szCs w:val="18"/>
          <w:lang w:val="de-DE"/>
        </w:rPr>
        <w:t xml:space="preserve"> do </w:t>
      </w:r>
      <w:proofErr w:type="spellStart"/>
      <w:r w:rsidRPr="00F71849">
        <w:rPr>
          <w:rFonts w:ascii="Arial" w:eastAsia="Arial" w:hAnsi="Arial" w:cs="Arial"/>
          <w:sz w:val="18"/>
          <w:szCs w:val="18"/>
          <w:lang w:val="de-DE"/>
        </w:rPr>
        <w:t>depozytu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sądowego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kwotę</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potrzebną</w:t>
      </w:r>
      <w:proofErr w:type="spellEnd"/>
      <w:r w:rsidRPr="00F71849">
        <w:rPr>
          <w:rFonts w:ascii="Arial" w:eastAsia="Arial" w:hAnsi="Arial" w:cs="Arial"/>
          <w:sz w:val="18"/>
          <w:szCs w:val="18"/>
          <w:lang w:val="de-DE"/>
        </w:rPr>
        <w:t xml:space="preserve"> na </w:t>
      </w:r>
      <w:proofErr w:type="spellStart"/>
      <w:r w:rsidRPr="00F71849">
        <w:rPr>
          <w:rFonts w:ascii="Arial" w:eastAsia="Arial" w:hAnsi="Arial" w:cs="Arial"/>
          <w:sz w:val="18"/>
          <w:szCs w:val="18"/>
          <w:lang w:val="de-DE"/>
        </w:rPr>
        <w:t>pokrycie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wynagrodzenia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dalszego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 </w:t>
      </w:r>
      <w:proofErr w:type="spellStart"/>
      <w:r w:rsidRPr="00F71849">
        <w:rPr>
          <w:rFonts w:ascii="Arial" w:eastAsia="Arial" w:hAnsi="Arial" w:cs="Arial"/>
          <w:sz w:val="18"/>
          <w:szCs w:val="18"/>
          <w:lang w:val="de-DE"/>
        </w:rPr>
        <w:t>przypadku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wątpliwości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co</w:t>
      </w:r>
      <w:proofErr w:type="spellEnd"/>
      <w:r w:rsidRPr="00F71849">
        <w:rPr>
          <w:rFonts w:ascii="Arial" w:eastAsia="Arial" w:hAnsi="Arial" w:cs="Arial"/>
          <w:sz w:val="18"/>
          <w:szCs w:val="18"/>
          <w:lang w:val="de-DE"/>
        </w:rPr>
        <w:t xml:space="preserve"> do </w:t>
      </w:r>
      <w:proofErr w:type="spellStart"/>
      <w:r w:rsidRPr="00F71849">
        <w:rPr>
          <w:rFonts w:ascii="Arial" w:eastAsia="Arial" w:hAnsi="Arial" w:cs="Arial"/>
          <w:sz w:val="18"/>
          <w:szCs w:val="18"/>
          <w:lang w:val="de-DE"/>
        </w:rPr>
        <w:t>wysokości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należnej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podmiotu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któremu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płatność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się</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należy</w:t>
      </w:r>
      <w:proofErr w:type="spellEnd"/>
      <w:r w:rsidRPr="00F71849">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proofErr w:type="spellStart"/>
      <w:r w:rsidRPr="00F71849">
        <w:rPr>
          <w:rFonts w:ascii="Arial" w:eastAsia="Arial" w:hAnsi="Arial" w:cs="Arial"/>
          <w:sz w:val="18"/>
          <w:szCs w:val="18"/>
          <w:lang w:val="de-DE"/>
        </w:rPr>
        <w:t>dokonać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bezpośredniej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jeżeli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wykaże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zasadność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takiej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lastRenderedPageBreak/>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r w:rsidR="00624249"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624249"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proofErr w:type="spellStart"/>
      <w:r w:rsidRPr="005F6A8A">
        <w:rPr>
          <w:rFonts w:ascii="Arial" w:eastAsia="Arial" w:hAnsi="Arial" w:cs="Arial"/>
          <w:sz w:val="18"/>
          <w:szCs w:val="18"/>
        </w:rPr>
        <w:t>składeklub</w:t>
      </w:r>
      <w:proofErr w:type="spellEnd"/>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lastRenderedPageBreak/>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proofErr w:type="spellStart"/>
      <w:r w:rsidRPr="005F6A8A">
        <w:rPr>
          <w:rFonts w:ascii="Arial" w:eastAsia="Arial" w:hAnsi="Arial" w:cs="Arial"/>
          <w:sz w:val="18"/>
          <w:szCs w:val="18"/>
        </w:rPr>
        <w:t>Zamawiajacego</w:t>
      </w:r>
      <w:proofErr w:type="spellEnd"/>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624249"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lastRenderedPageBreak/>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E5756B">
      <w:pPr>
        <w:pStyle w:val="Akapitzlist"/>
        <w:widowControl/>
        <w:spacing w:line="276" w:lineRule="auto"/>
        <w:ind w:left="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lastRenderedPageBreak/>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lastRenderedPageBreak/>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w:t>
      </w:r>
      <w:r w:rsidRPr="005F6A8A">
        <w:rPr>
          <w:rFonts w:ascii="Arial" w:eastAsia="Arial" w:hAnsi="Arial" w:cs="Arial"/>
          <w:sz w:val="18"/>
          <w:szCs w:val="18"/>
        </w:rPr>
        <w:lastRenderedPageBreak/>
        <w:t xml:space="preserve">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bookmarkStart w:id="0" w:name="_GoBack"/>
      <w:bookmarkEnd w:id="0"/>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33575E" w:rsidRPr="0033575E" w:rsidRDefault="0033575E" w:rsidP="0033575E">
      <w:pPr>
        <w:pStyle w:val="Akapitzlist"/>
        <w:widowControl/>
        <w:numPr>
          <w:ilvl w:val="0"/>
          <w:numId w:val="56"/>
        </w:numPr>
        <w:spacing w:line="276" w:lineRule="auto"/>
        <w:ind w:left="283" w:hanging="283"/>
        <w:jc w:val="both"/>
        <w:rPr>
          <w:rFonts w:ascii="Arial" w:eastAsia="Arial" w:hAnsi="Arial" w:cs="Arial"/>
          <w:sz w:val="18"/>
          <w:szCs w:val="18"/>
        </w:rPr>
      </w:pPr>
      <w:r w:rsidRPr="0033575E">
        <w:rPr>
          <w:rFonts w:ascii="Arial" w:eastAsia="Arial" w:hAnsi="Arial" w:cs="Arial"/>
          <w:sz w:val="18"/>
          <w:szCs w:val="18"/>
        </w:rPr>
        <w:t xml:space="preserve">W przypadku gdy czas trwania umowy z przyczyn niezależnych od Wykonawcy będzie dłuższy niż </w:t>
      </w:r>
      <w:r>
        <w:rPr>
          <w:rFonts w:ascii="Arial" w:eastAsia="Arial" w:hAnsi="Arial" w:cs="Arial"/>
          <w:sz w:val="18"/>
          <w:szCs w:val="18"/>
        </w:rPr>
        <w:t>6</w:t>
      </w:r>
      <w:r w:rsidRPr="0033575E">
        <w:rPr>
          <w:rFonts w:ascii="Arial" w:eastAsia="Arial" w:hAnsi="Arial" w:cs="Arial"/>
          <w:sz w:val="18"/>
          <w:szCs w:val="18"/>
        </w:rPr>
        <w:t xml:space="preserve"> miesięcy Strony przewidują dokonanie zmiany umowy zgodnie z niniejszym paragrafem.</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w:t>
      </w:r>
      <w:r w:rsidR="00624249">
        <w:rPr>
          <w:rFonts w:ascii="Arial" w:eastAsia="Arial" w:hAnsi="Arial" w:cs="Arial"/>
          <w:sz w:val="18"/>
          <w:szCs w:val="18"/>
        </w:rPr>
        <w:t xml:space="preserve"> nastąpić nie wcześniej niż po 3</w:t>
      </w:r>
      <w:r w:rsidRPr="00A47D4F">
        <w:rPr>
          <w:rFonts w:ascii="Arial" w:eastAsia="Arial" w:hAnsi="Arial" w:cs="Arial"/>
          <w:sz w:val="18"/>
          <w:szCs w:val="18"/>
        </w:rPr>
        <w:t xml:space="preserve">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DF377E" w:rsidRPr="00A72923" w:rsidRDefault="00A72923" w:rsidP="00624249">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w:t>
      </w:r>
      <w:r w:rsidR="00624249">
        <w:rPr>
          <w:rFonts w:ascii="Arial" w:eastAsia="Arial" w:hAnsi="Arial" w:cs="Arial"/>
          <w:sz w:val="18"/>
          <w:szCs w:val="18"/>
        </w:rPr>
        <w:t>.</w:t>
      </w:r>
    </w:p>
    <w:p w:rsidR="005F6A8A" w:rsidRPr="005F6A8A" w:rsidRDefault="005F6A8A" w:rsidP="005F6A8A">
      <w:pPr>
        <w:spacing w:line="276" w:lineRule="auto"/>
        <w:jc w:val="center"/>
        <w:rPr>
          <w:b/>
        </w:rPr>
      </w:pPr>
      <w:r w:rsidRPr="005F6A8A">
        <w:rPr>
          <w:rFonts w:ascii="Arial" w:eastAsia="Arial" w:hAnsi="Arial" w:cs="Arial"/>
          <w:b/>
          <w:sz w:val="18"/>
          <w:szCs w:val="18"/>
        </w:rPr>
        <w:lastRenderedPageBreak/>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lastRenderedPageBreak/>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lastRenderedPageBreak/>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lastRenderedPageBreak/>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33575E">
      <w:headerReference w:type="default" r:id="rId7"/>
      <w:footerReference w:type="default" r:id="rId8"/>
      <w:type w:val="continuous"/>
      <w:pgSz w:w="11900" w:h="16840"/>
      <w:pgMar w:top="993" w:right="1134" w:bottom="947" w:left="1134" w:header="0" w:footer="6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DA" w:rsidRDefault="00CC2BDA" w:rsidP="005841E8">
      <w:r>
        <w:separator/>
      </w:r>
    </w:p>
  </w:endnote>
  <w:endnote w:type="continuationSeparator" w:id="0">
    <w:p w:rsidR="00CC2BDA" w:rsidRDefault="00CC2BDA"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1160737"/>
      <w:docPartObj>
        <w:docPartGallery w:val="Page Numbers (Bottom of Page)"/>
        <w:docPartUnique/>
      </w:docPartObj>
    </w:sdtPr>
    <w:sdtEndPr>
      <w:rPr>
        <w:sz w:val="24"/>
      </w:rPr>
    </w:sdtEndPr>
    <w:sdtContent>
      <w:p w:rsidR="0033575E" w:rsidRPr="00ED0B3B" w:rsidRDefault="0033575E"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F57925">
          <w:rPr>
            <w:b/>
            <w:bCs/>
            <w:noProof/>
            <w:sz w:val="20"/>
          </w:rPr>
          <w:t>20</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F57925">
          <w:rPr>
            <w:b/>
            <w:bCs/>
            <w:noProof/>
            <w:sz w:val="20"/>
          </w:rPr>
          <w:t>26</w:t>
        </w:r>
        <w:r w:rsidRPr="00ED0B3B">
          <w:rPr>
            <w:b/>
            <w:bCs/>
            <w:sz w:val="20"/>
          </w:rPr>
          <w:fldChar w:fldCharType="end"/>
        </w:r>
      </w:p>
      <w:p w:rsidR="0033575E" w:rsidRPr="00ED0B3B" w:rsidRDefault="0033575E" w:rsidP="00ED0B3B">
        <w:pPr>
          <w:pStyle w:val="Stopka0"/>
          <w:jc w:val="center"/>
          <w:rPr>
            <w:rFonts w:asciiTheme="minorHAnsi" w:hAnsiTheme="minorHAnsi" w:cstheme="minorHAnsi"/>
            <w:sz w:val="6"/>
            <w:szCs w:val="20"/>
          </w:rPr>
        </w:pPr>
      </w:p>
    </w:sdtContent>
  </w:sdt>
  <w:p w:rsidR="0033575E" w:rsidRPr="0033575E" w:rsidRDefault="0033575E" w:rsidP="0033575E">
    <w:pPr>
      <w:pStyle w:val="Stopka0"/>
      <w:jc w:val="center"/>
      <w:rPr>
        <w:rFonts w:ascii="Calibri" w:eastAsia="Calibri" w:hAnsi="Calibri" w:cs="Calibri"/>
        <w:color w:val="auto"/>
        <w:sz w:val="16"/>
        <w:szCs w:val="16"/>
      </w:rPr>
    </w:pPr>
    <w:r w:rsidRPr="0033575E">
      <w:rPr>
        <w:rFonts w:ascii="Calibri" w:eastAsia="Calibri" w:hAnsi="Calibri" w:cs="Calibri"/>
        <w:color w:val="auto"/>
        <w:sz w:val="16"/>
        <w:szCs w:val="16"/>
      </w:rPr>
      <w:t>Projekt współfinansowany ze środków Unii Europejskiej z Europejskiego Funduszu Rozwoju Regionalnego</w:t>
    </w:r>
  </w:p>
  <w:p w:rsidR="0033575E" w:rsidRPr="002C2F03" w:rsidRDefault="0033575E" w:rsidP="0033575E">
    <w:pPr>
      <w:pStyle w:val="Stopka0"/>
      <w:jc w:val="center"/>
      <w:rPr>
        <w:rFonts w:asciiTheme="minorHAnsi" w:hAnsiTheme="minorHAnsi" w:cstheme="minorHAnsi"/>
        <w:sz w:val="16"/>
        <w:szCs w:val="20"/>
      </w:rPr>
    </w:pPr>
    <w:r w:rsidRPr="0033575E">
      <w:rPr>
        <w:rFonts w:ascii="Calibri" w:eastAsia="Calibri" w:hAnsi="Calibri" w:cs="Calibri"/>
        <w:color w:val="auto"/>
        <w:sz w:val="16"/>
        <w:szCs w:val="16"/>
      </w:rPr>
      <w:t>w ramach Regionalnego Programu Operacyjnego Województwa Kujawsko Pomorskiego na lata 2014-2020, Oś priorytetowa 3 Efektywność energetyczna i gospodarka niskoemisyjna w regionie, Działanie 3.3 Efektywność energetyczna w sektorze publicznym i mieszkaniowym</w:t>
    </w:r>
    <w:r>
      <w:rPr>
        <w:rFonts w:ascii="Calibri" w:eastAsia="Calibri" w:hAnsi="Calibri" w:cs="Calibri"/>
        <w:color w:val="auto"/>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DA" w:rsidRDefault="00CC2BDA" w:rsidP="005841E8">
      <w:r>
        <w:separator/>
      </w:r>
    </w:p>
  </w:footnote>
  <w:footnote w:type="continuationSeparator" w:id="0">
    <w:p w:rsidR="00CC2BDA" w:rsidRDefault="00CC2BDA" w:rsidP="005841E8">
      <w:r>
        <w:continuationSeparator/>
      </w:r>
    </w:p>
  </w:footnote>
  <w:footnote w:id="1">
    <w:p w:rsidR="0033575E" w:rsidRDefault="0033575E" w:rsidP="005F6A8A">
      <w:pPr>
        <w:pStyle w:val="Tekstprzypisudolnego"/>
      </w:pPr>
      <w:r>
        <w:rPr>
          <w:rStyle w:val="Odwoanieprzypisudolnego"/>
        </w:rPr>
        <w:footnoteRef/>
      </w:r>
      <w:r>
        <w:t xml:space="preserve"> Zgodnie z wyborem Wykonawcy przed zawarciem umowy.</w:t>
      </w:r>
    </w:p>
  </w:footnote>
  <w:footnote w:id="2">
    <w:p w:rsidR="0033575E" w:rsidRPr="00670FFB" w:rsidRDefault="0033575E"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33575E" w:rsidRPr="00E37E45" w:rsidRDefault="0033575E"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33575E" w:rsidRPr="0022185A" w:rsidRDefault="0033575E"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33575E" w:rsidRPr="00CA0B2F" w:rsidRDefault="0033575E" w:rsidP="00C522D5">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33575E" w:rsidRPr="00CA0B2F" w:rsidRDefault="0033575E" w:rsidP="00C522D5">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33575E" w:rsidRPr="00D60A04" w:rsidRDefault="0033575E" w:rsidP="00C522D5">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33575E" w:rsidRPr="00D60A04" w:rsidRDefault="0033575E"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5E" w:rsidRDefault="0033575E" w:rsidP="0033575E">
    <w:pPr>
      <w:pStyle w:val="Nagwek"/>
    </w:pPr>
    <w:r>
      <w:rPr>
        <w:noProof/>
        <w:lang w:bidi="ar-SA"/>
      </w:rPr>
      <w:drawing>
        <wp:anchor distT="0" distB="0" distL="114300" distR="114300" simplePos="0" relativeHeight="251659264" behindDoc="0" locked="0" layoutInCell="1" allowOverlap="1" wp14:anchorId="36659106" wp14:editId="71796945">
          <wp:simplePos x="0" y="0"/>
          <wp:positionH relativeFrom="column">
            <wp:posOffset>-423080</wp:posOffset>
          </wp:positionH>
          <wp:positionV relativeFrom="paragraph">
            <wp:posOffset>196935</wp:posOffset>
          </wp:positionV>
          <wp:extent cx="6985944" cy="738877"/>
          <wp:effectExtent l="0" t="0" r="5715"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33575E" w:rsidRPr="005F6A8A" w:rsidRDefault="0033575E" w:rsidP="0033575E">
    <w:pPr>
      <w:pStyle w:val="Nagwek"/>
      <w:ind w:left="-709" w:right="-506"/>
      <w:rPr>
        <w:sz w:val="16"/>
      </w:rPr>
    </w:pPr>
  </w:p>
  <w:p w:rsidR="0033575E" w:rsidRDefault="0033575E" w:rsidP="0033575E">
    <w:pPr>
      <w:pStyle w:val="Nagwek"/>
      <w:ind w:left="-709" w:right="-506"/>
      <w:jc w:val="center"/>
      <w:rPr>
        <w:rFonts w:asciiTheme="minorHAnsi" w:hAnsiTheme="minorHAnsi" w:cstheme="minorHAnsi"/>
        <w:sz w:val="20"/>
      </w:rPr>
    </w:pPr>
  </w:p>
  <w:p w:rsidR="0033575E" w:rsidRDefault="0033575E" w:rsidP="0033575E">
    <w:pPr>
      <w:pStyle w:val="Nagwek"/>
    </w:pPr>
  </w:p>
  <w:p w:rsidR="0033575E" w:rsidRDefault="0033575E" w:rsidP="0033575E">
    <w:pPr>
      <w:keepNext/>
      <w:keepLines/>
      <w:widowControl w:val="0"/>
      <w:spacing w:line="276" w:lineRule="auto"/>
      <w:ind w:left="-567" w:right="-506"/>
      <w:jc w:val="center"/>
      <w:outlineLvl w:val="2"/>
      <w:rPr>
        <w:rFonts w:ascii="Arial" w:eastAsia="Arial" w:hAnsi="Arial" w:cs="Arial"/>
        <w:bCs/>
        <w:color w:val="000000"/>
        <w:sz w:val="18"/>
        <w:szCs w:val="24"/>
        <w:lang w:bidi="pl-PL"/>
      </w:rPr>
    </w:pPr>
  </w:p>
  <w:p w:rsidR="0033575E" w:rsidRDefault="0033575E" w:rsidP="0033575E">
    <w:pPr>
      <w:keepNext/>
      <w:keepLines/>
      <w:widowControl w:val="0"/>
      <w:pBdr>
        <w:bottom w:val="single" w:sz="6" w:space="1" w:color="auto"/>
      </w:pBdr>
      <w:spacing w:line="276" w:lineRule="auto"/>
      <w:ind w:left="-567" w:right="-506"/>
      <w:jc w:val="center"/>
      <w:outlineLvl w:val="2"/>
      <w:rPr>
        <w:rFonts w:ascii="Arial" w:eastAsia="Arial" w:hAnsi="Arial" w:cs="Arial"/>
        <w:bCs/>
        <w:color w:val="000000"/>
        <w:sz w:val="18"/>
        <w:szCs w:val="24"/>
        <w:lang w:bidi="pl-PL"/>
      </w:rPr>
    </w:pPr>
  </w:p>
  <w:p w:rsidR="0033575E" w:rsidRPr="00937F74" w:rsidRDefault="0033575E" w:rsidP="0033575E">
    <w:pPr>
      <w:keepNext/>
      <w:keepLines/>
      <w:widowControl w:val="0"/>
      <w:pBdr>
        <w:bottom w:val="single" w:sz="6" w:space="1" w:color="auto"/>
      </w:pBdr>
      <w:spacing w:line="276" w:lineRule="auto"/>
      <w:ind w:left="-567" w:right="-506"/>
      <w:jc w:val="center"/>
      <w:outlineLvl w:val="2"/>
      <w:rPr>
        <w:rFonts w:ascii="Arial" w:eastAsia="Arial" w:hAnsi="Arial" w:cs="Arial"/>
        <w:bCs/>
        <w:color w:val="000000"/>
        <w:sz w:val="4"/>
        <w:szCs w:val="24"/>
        <w:lang w:bidi="pl-PL"/>
      </w:rPr>
    </w:pPr>
    <w:r w:rsidRPr="00440F86">
      <w:rPr>
        <w:rFonts w:ascii="Arial" w:eastAsia="Arial" w:hAnsi="Arial" w:cs="Arial"/>
        <w:bCs/>
        <w:color w:val="000000"/>
        <w:sz w:val="18"/>
        <w:szCs w:val="24"/>
        <w:lang w:bidi="pl-PL"/>
      </w:rPr>
      <w:t>Termomodernizacja Budynków użyteczności publicznej w Gminie Strzelno</w:t>
    </w:r>
    <w:r w:rsidRPr="003874C1">
      <w:rPr>
        <w:rFonts w:ascii="Arial" w:eastAsia="Arial" w:hAnsi="Arial" w:cs="Arial"/>
        <w:bCs/>
        <w:color w:val="000000"/>
        <w:sz w:val="18"/>
        <w:szCs w:val="24"/>
        <w:lang w:bidi="pl-PL"/>
      </w:rPr>
      <w:t>.</w:t>
    </w:r>
  </w:p>
  <w:p w:rsidR="0033575E" w:rsidRPr="009B0809" w:rsidRDefault="0033575E" w:rsidP="0033575E">
    <w:pPr>
      <w:pStyle w:val="Nagwek"/>
      <w:ind w:left="-709" w:right="-506"/>
      <w:jc w:val="center"/>
      <w:rPr>
        <w:rFonts w:asciiTheme="minorHAnsi" w:hAnsiTheme="minorHAnsi" w:cstheme="minorHAnsi"/>
        <w:sz w:val="10"/>
      </w:rPr>
    </w:pPr>
  </w:p>
  <w:p w:rsidR="0033575E" w:rsidRDefault="0033575E"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7"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0"/>
  </w:num>
  <w:num w:numId="3">
    <w:abstractNumId w:val="34"/>
  </w:num>
  <w:num w:numId="4">
    <w:abstractNumId w:val="40"/>
  </w:num>
  <w:num w:numId="5">
    <w:abstractNumId w:val="23"/>
  </w:num>
  <w:num w:numId="6">
    <w:abstractNumId w:val="46"/>
  </w:num>
  <w:num w:numId="7">
    <w:abstractNumId w:val="15"/>
  </w:num>
  <w:num w:numId="8">
    <w:abstractNumId w:val="28"/>
  </w:num>
  <w:num w:numId="9">
    <w:abstractNumId w:val="25"/>
  </w:num>
  <w:num w:numId="10">
    <w:abstractNumId w:val="55"/>
  </w:num>
  <w:num w:numId="11">
    <w:abstractNumId w:val="36"/>
  </w:num>
  <w:num w:numId="12">
    <w:abstractNumId w:val="51"/>
  </w:num>
  <w:num w:numId="13">
    <w:abstractNumId w:val="9"/>
  </w:num>
  <w:num w:numId="14">
    <w:abstractNumId w:val="13"/>
  </w:num>
  <w:num w:numId="15">
    <w:abstractNumId w:val="29"/>
  </w:num>
  <w:num w:numId="16">
    <w:abstractNumId w:val="17"/>
  </w:num>
  <w:num w:numId="17">
    <w:abstractNumId w:val="45"/>
  </w:num>
  <w:num w:numId="18">
    <w:abstractNumId w:val="7"/>
  </w:num>
  <w:num w:numId="19">
    <w:abstractNumId w:val="54"/>
  </w:num>
  <w:num w:numId="20">
    <w:abstractNumId w:val="37"/>
  </w:num>
  <w:num w:numId="21">
    <w:abstractNumId w:val="4"/>
  </w:num>
  <w:num w:numId="22">
    <w:abstractNumId w:val="39"/>
  </w:num>
  <w:num w:numId="23">
    <w:abstractNumId w:val="6"/>
  </w:num>
  <w:num w:numId="24">
    <w:abstractNumId w:val="1"/>
  </w:num>
  <w:num w:numId="25">
    <w:abstractNumId w:val="48"/>
  </w:num>
  <w:num w:numId="26">
    <w:abstractNumId w:val="24"/>
  </w:num>
  <w:num w:numId="27">
    <w:abstractNumId w:val="49"/>
  </w:num>
  <w:num w:numId="28">
    <w:abstractNumId w:val="22"/>
  </w:num>
  <w:num w:numId="29">
    <w:abstractNumId w:val="56"/>
  </w:num>
  <w:num w:numId="30">
    <w:abstractNumId w:val="43"/>
  </w:num>
  <w:num w:numId="31">
    <w:abstractNumId w:val="0"/>
  </w:num>
  <w:num w:numId="32">
    <w:abstractNumId w:val="44"/>
  </w:num>
  <w:num w:numId="33">
    <w:abstractNumId w:val="20"/>
  </w:num>
  <w:num w:numId="34">
    <w:abstractNumId w:val="31"/>
  </w:num>
  <w:num w:numId="35">
    <w:abstractNumId w:val="14"/>
  </w:num>
  <w:num w:numId="36">
    <w:abstractNumId w:val="47"/>
  </w:num>
  <w:num w:numId="37">
    <w:abstractNumId w:val="53"/>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2"/>
  </w:num>
  <w:num w:numId="52">
    <w:abstractNumId w:val="8"/>
  </w:num>
  <w:num w:numId="53">
    <w:abstractNumId w:val="33"/>
  </w:num>
  <w:num w:numId="54">
    <w:abstractNumId w:val="27"/>
  </w:num>
  <w:num w:numId="55">
    <w:abstractNumId w:val="5"/>
  </w:num>
  <w:num w:numId="56">
    <w:abstractNumId w:val="26"/>
  </w:num>
  <w:num w:numId="57">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3575E"/>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4249"/>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A61CD"/>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522D5"/>
    <w:rsid w:val="00C8493C"/>
    <w:rsid w:val="00CA29F1"/>
    <w:rsid w:val="00CA7F3A"/>
    <w:rsid w:val="00CB0907"/>
    <w:rsid w:val="00CC2BDA"/>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57925"/>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DE8A6"/>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26</Pages>
  <Words>16808</Words>
  <Characters>100850</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10</cp:revision>
  <cp:lastPrinted>2022-12-22T20:20:00Z</cp:lastPrinted>
  <dcterms:created xsi:type="dcterms:W3CDTF">2022-12-19T22:11:00Z</dcterms:created>
  <dcterms:modified xsi:type="dcterms:W3CDTF">2023-08-27T20:07:00Z</dcterms:modified>
</cp:coreProperties>
</file>