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51EAD">
        <w:fldChar w:fldCharType="begin"/>
      </w:r>
      <w:r w:rsidR="00D51EAD">
        <w:instrText xml:space="preserve"> INCLUDEPICTURE  "http://bip.strzelno.pl/getimg.php?name=herb+strona.JPG" \* MERGEFORMATINET </w:instrText>
      </w:r>
      <w:r w:rsidR="00D51EAD">
        <w:fldChar w:fldCharType="separate"/>
      </w:r>
      <w:r w:rsidR="00AD0B34">
        <w:fldChar w:fldCharType="begin"/>
      </w:r>
      <w:r w:rsidR="00AD0B34">
        <w:instrText xml:space="preserve"> INCLUDEPICTURE  "http://bip.strzelno.pl/getimg.php?name=herb+strona.JPG" \* MERGEFORMATINET </w:instrText>
      </w:r>
      <w:r w:rsidR="00AD0B34">
        <w:fldChar w:fldCharType="separate"/>
      </w:r>
      <w:r w:rsidR="00C73353">
        <w:fldChar w:fldCharType="begin"/>
      </w:r>
      <w:r w:rsidR="00C73353">
        <w:instrText xml:space="preserve"> INCLUDEPICTURE  "http://bip.strzelno.pl/getimg.php?name=herb+strona.JPG" \* MERGEFORMATINET </w:instrText>
      </w:r>
      <w:r w:rsidR="00C73353">
        <w:fldChar w:fldCharType="separate"/>
      </w:r>
      <w:r w:rsidR="0078399B">
        <w:fldChar w:fldCharType="begin"/>
      </w:r>
      <w:r w:rsidR="0078399B">
        <w:instrText xml:space="preserve"> INCLUDEPICTURE  "http://bip.strzelno.pl/getimg.php?name=herb+strona.JPG" \* MERGEFORMATINET </w:instrText>
      </w:r>
      <w:r w:rsidR="0078399B">
        <w:fldChar w:fldCharType="separate"/>
      </w:r>
      <w:r w:rsidR="007839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78399B">
        <w:fldChar w:fldCharType="end"/>
      </w:r>
      <w:r w:rsidR="00C73353">
        <w:fldChar w:fldCharType="end"/>
      </w:r>
      <w:r w:rsidR="00AD0B34">
        <w:fldChar w:fldCharType="end"/>
      </w:r>
      <w:r w:rsidR="00D51EAD">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4A0B34" w:rsidRPr="004A0B34">
        <w:rPr>
          <w:rFonts w:ascii="Arial" w:eastAsia="Arial" w:hAnsi="Arial" w:cs="Arial"/>
          <w:b/>
          <w:bCs/>
          <w:color w:val="000000"/>
          <w:sz w:val="24"/>
          <w:szCs w:val="24"/>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004A0B34" w:rsidRPr="004A0B34">
        <w:rPr>
          <w:rFonts w:ascii="Arial" w:eastAsia="Arial" w:hAnsi="Arial" w:cs="Arial"/>
          <w:bCs/>
          <w:sz w:val="18"/>
          <w:szCs w:val="18"/>
          <w:lang w:eastAsia="pl-PL" w:bidi="pl-PL"/>
        </w:rPr>
        <w:t>Zagospodarowanie przestrzeni wiejskich w Markowicach</w:t>
      </w:r>
      <w:r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407C91">
        <w:rPr>
          <w:rFonts w:ascii="Arial" w:eastAsia="Arial" w:hAnsi="Arial" w:cs="Arial"/>
          <w:b/>
          <w:bCs/>
          <w:color w:val="000000"/>
          <w:sz w:val="24"/>
          <w:szCs w:val="24"/>
          <w:lang w:eastAsia="pl-PL" w:bidi="pl-PL"/>
        </w:rPr>
        <w:t>06</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78399B">
        <w:rPr>
          <w:rFonts w:ascii="Arial" w:eastAsia="Arial" w:hAnsi="Arial" w:cs="Arial"/>
          <w:b/>
          <w:bCs/>
          <w:color w:val="000000"/>
          <w:sz w:val="18"/>
          <w:szCs w:val="18"/>
          <w:lang w:eastAsia="pl-PL" w:bidi="pl-PL"/>
        </w:rPr>
        <w:t>31</w:t>
      </w:r>
      <w:r w:rsidR="00C73353">
        <w:rPr>
          <w:rFonts w:ascii="Arial" w:eastAsia="Arial" w:hAnsi="Arial" w:cs="Arial"/>
          <w:b/>
          <w:bCs/>
          <w:color w:val="000000"/>
          <w:sz w:val="18"/>
          <w:szCs w:val="18"/>
          <w:lang w:eastAsia="pl-PL" w:bidi="pl-PL"/>
        </w:rPr>
        <w:t xml:space="preserve"> maja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Oś Priorytetowa </w:t>
      </w:r>
      <w:r w:rsidR="004A0B34" w:rsidRPr="004A0B34">
        <w:rPr>
          <w:rFonts w:ascii="Calibri" w:eastAsia="Calibri" w:hAnsi="Calibri" w:cs="Calibri"/>
          <w:sz w:val="20"/>
          <w:szCs w:val="16"/>
          <w:lang w:eastAsia="pl-PL" w:bidi="pl-PL"/>
        </w:rPr>
        <w:t>7 Rozwój lokalny kierowany przez społeczność, Działania 7.1 Rozwój lokalny kierowany przez społeczność</w:t>
      </w:r>
      <w:r w:rsidR="004A0B34">
        <w:rPr>
          <w:rFonts w:ascii="Calibri" w:eastAsia="Calibri" w:hAnsi="Calibri" w:cs="Calibri"/>
          <w:sz w:val="20"/>
          <w:szCs w:val="16"/>
          <w:lang w:eastAsia="pl-PL" w:bidi="pl-PL"/>
        </w:rPr>
        <w:t>.</w:t>
      </w:r>
      <w:r w:rsidR="005841E8" w:rsidRPr="0099046B">
        <w:rPr>
          <w:rFonts w:ascii="Calibri" w:eastAsia="Calibri" w:hAnsi="Calibri" w:cs="Calibri"/>
          <w:sz w:val="20"/>
          <w:szCs w:val="16"/>
          <w:lang w:eastAsia="pl-PL" w:bidi="pl-PL"/>
        </w:rPr>
        <w:t xml:space="preserve"> </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C73353">
        <w:rPr>
          <w:rFonts w:ascii="Arial" w:eastAsia="Arial" w:hAnsi="Arial" w:cs="Arial"/>
          <w:bCs/>
          <w:sz w:val="18"/>
          <w:szCs w:val="18"/>
        </w:rPr>
        <w:t>ROR-3041-0</w:t>
      </w:r>
      <w:r w:rsidR="00407C91">
        <w:rPr>
          <w:rFonts w:ascii="Arial" w:eastAsia="Arial" w:hAnsi="Arial" w:cs="Arial"/>
          <w:bCs/>
          <w:sz w:val="18"/>
          <w:szCs w:val="18"/>
        </w:rPr>
        <w:t>6</w:t>
      </w:r>
      <w:r w:rsidR="00040516">
        <w:rPr>
          <w:rFonts w:ascii="Arial" w:eastAsia="Arial" w:hAnsi="Arial" w:cs="Arial"/>
          <w:bCs/>
          <w:sz w:val="18"/>
          <w:szCs w:val="18"/>
        </w:rPr>
        <w:t>-2021</w:t>
      </w:r>
      <w:r w:rsidRPr="00B3064C">
        <w:rPr>
          <w:rFonts w:ascii="Arial" w:eastAsia="Arial" w:hAnsi="Arial" w:cs="Arial"/>
          <w:bCs/>
          <w:sz w:val="18"/>
          <w:szCs w:val="18"/>
        </w:rPr>
        <w:t xml:space="preserve"> o nazwie „Zagospodarowanie terenu wokół Szkoły Podstawowej im. Gustawa Zielińskiego w Markowicach wraz z budową zadaszenia nad boiskiem sportowym i infrastrukturą towarzyszącą.</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1D4C09" w:rsidRPr="001D4C09">
        <w:rPr>
          <w:rFonts w:ascii="Arial" w:eastAsia="Arial" w:hAnsi="Arial" w:cs="Arial"/>
          <w:bCs/>
          <w:sz w:val="18"/>
          <w:szCs w:val="18"/>
        </w:rPr>
        <w:t>Zagospodarowanie przestrzeni wiejskich w Markowicach</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t>
      </w:r>
      <w:r w:rsidRPr="006E075B">
        <w:rPr>
          <w:rFonts w:ascii="Arial" w:eastAsia="Arial" w:hAnsi="Arial" w:cs="Arial"/>
          <w:color w:val="000000"/>
          <w:sz w:val="18"/>
          <w:szCs w:val="18"/>
          <w:lang w:eastAsia="pl-PL" w:bidi="pl-PL"/>
        </w:rPr>
        <w:lastRenderedPageBreak/>
        <w:t>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6E075B" w:rsidRDefault="00565DB3" w:rsidP="008519AB">
      <w:pPr>
        <w:pStyle w:val="Akapitzlist"/>
        <w:numPr>
          <w:ilvl w:val="0"/>
          <w:numId w:val="24"/>
        </w:numPr>
        <w:spacing w:line="276" w:lineRule="auto"/>
        <w:jc w:val="both"/>
        <w:rPr>
          <w:rFonts w:ascii="Arial" w:eastAsia="Arial" w:hAnsi="Arial" w:cs="Arial"/>
          <w:bCs/>
          <w:sz w:val="18"/>
          <w:szCs w:val="18"/>
        </w:rPr>
      </w:pPr>
      <w:r w:rsidRPr="006E075B">
        <w:rPr>
          <w:rFonts w:ascii="Arial" w:eastAsia="Arial" w:hAnsi="Arial" w:cs="Arial"/>
          <w:bCs/>
          <w:sz w:val="18"/>
          <w:szCs w:val="18"/>
        </w:rPr>
        <w:t>Niniejsze postępowanie jest realizowane w ramach Projektu: „</w:t>
      </w:r>
      <w:r w:rsidRPr="004A0B34">
        <w:rPr>
          <w:rFonts w:ascii="Arial" w:eastAsia="Arial" w:hAnsi="Arial" w:cs="Arial"/>
          <w:bCs/>
          <w:sz w:val="18"/>
          <w:szCs w:val="18"/>
        </w:rPr>
        <w:t>Zagospodarowanie przestrzeni wiejskich w Markowicach</w:t>
      </w:r>
      <w:r w:rsidRPr="0099046B">
        <w:rPr>
          <w:rFonts w:ascii="Arial" w:eastAsia="Arial" w:hAnsi="Arial" w:cs="Arial"/>
          <w:bCs/>
          <w:sz w:val="18"/>
          <w:szCs w:val="18"/>
        </w:rPr>
        <w:t>"</w:t>
      </w:r>
      <w:r w:rsidRPr="006E075B">
        <w:rPr>
          <w:rFonts w:ascii="Arial" w:eastAsia="Arial" w:hAnsi="Arial" w:cs="Arial"/>
          <w:bCs/>
          <w:sz w:val="18"/>
          <w:szCs w:val="18"/>
        </w:rPr>
        <w:t xml:space="preserve">. Projekt współfinansowany przez Unię Europejską w ramach Regionalnego Programu Województwa </w:t>
      </w:r>
      <w:r w:rsidRPr="0099046B">
        <w:rPr>
          <w:rFonts w:ascii="Arial" w:eastAsia="Arial" w:hAnsi="Arial" w:cs="Arial"/>
          <w:bCs/>
          <w:sz w:val="18"/>
          <w:szCs w:val="18"/>
        </w:rPr>
        <w:t>Kujawsko - Pomorskiego</w:t>
      </w:r>
      <w:r w:rsidRPr="006E075B">
        <w:rPr>
          <w:rFonts w:ascii="Arial" w:eastAsia="Arial" w:hAnsi="Arial" w:cs="Arial"/>
          <w:bCs/>
          <w:sz w:val="18"/>
          <w:szCs w:val="18"/>
        </w:rPr>
        <w:t xml:space="preserve"> na lata 2014-2020 (Europejskiego Funduszu Rozwoju Regionalnego), oś priorytetowa </w:t>
      </w:r>
      <w:r w:rsidRPr="004A0B34">
        <w:rPr>
          <w:rFonts w:ascii="Arial" w:eastAsia="Arial" w:hAnsi="Arial" w:cs="Arial"/>
          <w:bCs/>
          <w:sz w:val="18"/>
          <w:szCs w:val="18"/>
        </w:rPr>
        <w:t>7 Rozwój lokalny kierowany przez społeczność, Działania 7.1 Rozwój lokalny kierowany przez społeczność</w:t>
      </w:r>
      <w:r w:rsidRPr="006E075B">
        <w:rPr>
          <w:rFonts w:ascii="Arial" w:eastAsia="Arial" w:hAnsi="Arial" w:cs="Arial"/>
          <w:bCs/>
          <w:sz w:val="18"/>
          <w:szCs w:val="18"/>
        </w:rPr>
        <w:t xml:space="preserve">; </w:t>
      </w:r>
      <w:r w:rsidRPr="0099046B">
        <w:rPr>
          <w:rFonts w:ascii="Arial" w:eastAsia="Arial" w:hAnsi="Arial" w:cs="Arial"/>
          <w:bCs/>
          <w:sz w:val="18"/>
          <w:szCs w:val="18"/>
        </w:rPr>
        <w:t xml:space="preserve">Umowa o dofinansowanie nr </w:t>
      </w:r>
      <w:r>
        <w:rPr>
          <w:rFonts w:ascii="Arial" w:eastAsia="Arial" w:hAnsi="Arial" w:cs="Arial"/>
          <w:bCs/>
          <w:sz w:val="18"/>
          <w:szCs w:val="18"/>
        </w:rPr>
        <w:t>UM_WR.431.1.480.2020</w:t>
      </w:r>
      <w:r w:rsidRPr="0099046B">
        <w:rPr>
          <w:rFonts w:ascii="Arial" w:eastAsia="Arial" w:hAnsi="Arial" w:cs="Arial"/>
          <w:bCs/>
          <w:sz w:val="18"/>
          <w:szCs w:val="18"/>
        </w:rPr>
        <w:t xml:space="preserve"> z dnia 3</w:t>
      </w:r>
      <w:r>
        <w:rPr>
          <w:rFonts w:ascii="Arial" w:eastAsia="Arial" w:hAnsi="Arial" w:cs="Arial"/>
          <w:bCs/>
          <w:sz w:val="18"/>
          <w:szCs w:val="18"/>
        </w:rPr>
        <w:t>0.10</w:t>
      </w:r>
      <w:r w:rsidRPr="0099046B">
        <w:rPr>
          <w:rFonts w:ascii="Arial" w:eastAsia="Arial" w:hAnsi="Arial" w:cs="Arial"/>
          <w:bCs/>
          <w:sz w:val="18"/>
          <w:szCs w:val="18"/>
        </w:rPr>
        <w:t>.2020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Przedmiotem zamówienia jest wykonanie na rzecz Zamawiającego robót budowlanych polegających na </w:t>
      </w:r>
      <w:r w:rsidR="0063424C">
        <w:rPr>
          <w:rFonts w:ascii="Arial" w:eastAsia="Arial" w:hAnsi="Arial" w:cs="Arial"/>
          <w:bCs/>
          <w:color w:val="000000"/>
          <w:sz w:val="18"/>
          <w:szCs w:val="18"/>
          <w:lang w:eastAsia="pl-PL" w:bidi="pl-PL"/>
        </w:rPr>
        <w:t>zagospodarowaniu</w:t>
      </w:r>
      <w:r w:rsidR="0063424C" w:rsidRPr="0063424C">
        <w:rPr>
          <w:rFonts w:ascii="Arial" w:eastAsia="Arial" w:hAnsi="Arial" w:cs="Arial"/>
          <w:bCs/>
          <w:color w:val="000000"/>
          <w:sz w:val="18"/>
          <w:szCs w:val="18"/>
          <w:lang w:eastAsia="pl-PL" w:bidi="pl-PL"/>
        </w:rPr>
        <w:t xml:space="preserve"> terenu wokół szkoły podstawowej im. Gustawa Zielińskiego w Markowicach oraz budowa zadaszenia nad boiskiem sportowym, które zlokalizowano na terenie działki nr 16/8, obręb 0012 Markowice, pod adresem Markowice 28, 88-320 Strzelno.</w:t>
      </w:r>
      <w:r w:rsidRPr="006E075B">
        <w:rPr>
          <w:rFonts w:ascii="Arial" w:eastAsia="Arial" w:hAnsi="Arial" w:cs="Arial"/>
          <w:bCs/>
          <w:color w:val="000000"/>
          <w:sz w:val="18"/>
          <w:szCs w:val="18"/>
          <w:lang w:eastAsia="pl-PL" w:bidi="pl-PL"/>
        </w:rPr>
        <w:t xml:space="preserve"> Obowiązkiem Wykonawcy będzie również uzyskanie w imieniu Zamawiającego prawomocnego pozwolenia na użytkowanie obiektu.</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 00 00 00-7 - roboty budowlane,</w:t>
      </w:r>
    </w:p>
    <w:p w:rsidR="007A1EAA" w:rsidRDefault="007A1EAA"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45111291-4</w:t>
      </w:r>
      <w:r w:rsidRPr="007A1EAA">
        <w:rPr>
          <w:rFonts w:ascii="Arial" w:eastAsia="Arial" w:hAnsi="Arial" w:cs="Arial"/>
          <w:color w:val="000000"/>
          <w:sz w:val="18"/>
          <w:szCs w:val="18"/>
          <w:lang w:eastAsia="pl-PL" w:bidi="pl-PL"/>
        </w:rPr>
        <w:t xml:space="preserve"> Roboty w zakresie zagospodarowania terenu.</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7A1EAA" w:rsidRDefault="006E075B" w:rsidP="0063424C">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45311000-0 Roboty w zakresie okablowania oraz instalacji elektrycznych </w:t>
      </w:r>
      <w:bookmarkStart w:id="2" w:name="bookmark12"/>
    </w:p>
    <w:p w:rsidR="007A1EAA" w:rsidRP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45231400-9 Roboty budowlane w zakresie budowy linii energetycznych</w:t>
      </w:r>
    </w:p>
    <w:p w:rsid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45232200-4 Roboty pomocnicze w zakresie linii energetycznych</w:t>
      </w:r>
    </w:p>
    <w:p w:rsidR="007A1EAA" w:rsidRDefault="007A1EAA" w:rsidP="0063424C">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45212200 - 8 roboty budowlane w zakresie budowy obiektów sportowych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45112720-8 </w:t>
      </w:r>
      <w:r w:rsidRPr="007A1EAA">
        <w:rPr>
          <w:rFonts w:ascii="Arial" w:eastAsia="Arial" w:hAnsi="Arial" w:cs="Arial"/>
          <w:color w:val="000000"/>
          <w:sz w:val="18"/>
          <w:szCs w:val="18"/>
          <w:lang w:eastAsia="pl-PL" w:bidi="pl-PL"/>
        </w:rPr>
        <w:t>Roboty w zakresie ksz</w:t>
      </w:r>
      <w:r>
        <w:rPr>
          <w:rFonts w:ascii="Arial" w:eastAsia="Arial" w:hAnsi="Arial" w:cs="Arial"/>
          <w:color w:val="000000"/>
          <w:sz w:val="18"/>
          <w:szCs w:val="18"/>
          <w:lang w:eastAsia="pl-PL" w:bidi="pl-PL"/>
        </w:rPr>
        <w:t xml:space="preserve">tałtowania terenów sportowych i </w:t>
      </w:r>
      <w:r w:rsidRPr="007A1EAA">
        <w:rPr>
          <w:rFonts w:ascii="Arial" w:eastAsia="Arial" w:hAnsi="Arial" w:cs="Arial"/>
          <w:color w:val="000000"/>
          <w:sz w:val="18"/>
          <w:szCs w:val="18"/>
          <w:lang w:eastAsia="pl-PL" w:bidi="pl-PL"/>
        </w:rPr>
        <w:t>rekreacyjnych.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45232130-2 Roboty budowlane w zakresie rurociągów do odprowadzania wody burzowej.</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34928200-0 Ogrodzenia. 45340000-2 Instalowanie ogrodzeń, płotów i sprzętu ochronnego.</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w:t>
      </w:r>
      <w:r w:rsidRPr="006E075B">
        <w:rPr>
          <w:rFonts w:ascii="Arial" w:eastAsia="Arial" w:hAnsi="Arial" w:cs="Arial"/>
          <w:color w:val="000000"/>
          <w:sz w:val="18"/>
          <w:szCs w:val="18"/>
          <w:lang w:eastAsia="pl-PL" w:bidi="pl-PL"/>
        </w:rPr>
        <w:lastRenderedPageBreak/>
        <w:t>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C73353" w:rsidRPr="00C73353" w:rsidRDefault="00C73353" w:rsidP="00C73353">
      <w:pPr>
        <w:widowControl w:val="0"/>
        <w:numPr>
          <w:ilvl w:val="0"/>
          <w:numId w:val="5"/>
        </w:numPr>
        <w:tabs>
          <w:tab w:val="left" w:pos="631"/>
        </w:tabs>
        <w:spacing w:after="0" w:line="276" w:lineRule="auto"/>
        <w:ind w:left="600" w:hanging="280"/>
        <w:jc w:val="both"/>
        <w:rPr>
          <w:rFonts w:ascii="Arial" w:eastAsia="Arial" w:hAnsi="Arial" w:cs="Arial"/>
          <w:b/>
          <w:bCs/>
          <w:color w:val="000000"/>
          <w:sz w:val="18"/>
          <w:szCs w:val="18"/>
          <w:u w:val="single"/>
          <w:lang w:eastAsia="pl-PL" w:bidi="pl-PL"/>
        </w:rPr>
      </w:pPr>
      <w:r w:rsidRPr="00C73353">
        <w:rPr>
          <w:rFonts w:ascii="Arial" w:eastAsia="Arial" w:hAnsi="Arial" w:cs="Arial"/>
          <w:b/>
          <w:bCs/>
          <w:color w:val="000000"/>
          <w:sz w:val="18"/>
          <w:szCs w:val="18"/>
          <w:u w:val="single"/>
          <w:lang w:eastAsia="pl-PL" w:bidi="pl-PL"/>
        </w:rPr>
        <w:t>Zamawiający udostępnia ponadto pytania i odpowiedzi (wraz z załącznikami)</w:t>
      </w:r>
      <w:r>
        <w:rPr>
          <w:rFonts w:ascii="Arial" w:eastAsia="Arial" w:hAnsi="Arial" w:cs="Arial"/>
          <w:b/>
          <w:bCs/>
          <w:color w:val="000000"/>
          <w:sz w:val="18"/>
          <w:szCs w:val="18"/>
          <w:u w:val="single"/>
          <w:lang w:eastAsia="pl-PL" w:bidi="pl-PL"/>
        </w:rPr>
        <w:t xml:space="preserve"> </w:t>
      </w:r>
      <w:r w:rsidRPr="00C73353">
        <w:rPr>
          <w:rFonts w:ascii="Arial" w:eastAsia="Arial" w:hAnsi="Arial" w:cs="Arial"/>
          <w:b/>
          <w:bCs/>
          <w:color w:val="000000"/>
          <w:sz w:val="18"/>
          <w:szCs w:val="18"/>
          <w:u w:val="single"/>
          <w:lang w:eastAsia="pl-PL" w:bidi="pl-PL"/>
        </w:rPr>
        <w:t xml:space="preserve">do poprzedniego, unieważnionego postępowania i traktuje je jako część opisu przedmiotu zamówienia. </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42116A" w:rsidRPr="0042116A">
        <w:rPr>
          <w:rFonts w:ascii="Arial" w:eastAsia="Arial" w:hAnsi="Arial" w:cs="Arial"/>
          <w:color w:val="000000"/>
          <w:sz w:val="18"/>
          <w:szCs w:val="18"/>
          <w:lang w:eastAsia="pl-PL" w:bidi="pl-PL"/>
        </w:rPr>
        <w:t>5</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lastRenderedPageBreak/>
        <w:t xml:space="preserve">Zamawiający nie stawia warunku w powyższym zakresie. </w:t>
      </w:r>
    </w:p>
    <w:p w:rsid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8638C6">
        <w:rPr>
          <w:rFonts w:ascii="Arial" w:eastAsia="Courier New" w:hAnsi="Arial" w:cs="Arial"/>
          <w:color w:val="000000"/>
          <w:sz w:val="18"/>
          <w:szCs w:val="18"/>
          <w:lang w:eastAsia="pl-PL" w:bidi="pl-PL"/>
        </w:rPr>
        <w:t xml:space="preserve"> w wysokości nie mniejszej niż 75</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8638C6">
        <w:rPr>
          <w:rFonts w:ascii="Arial" w:eastAsia="Courier New" w:hAnsi="Arial" w:cs="Arial"/>
          <w:color w:val="000000"/>
          <w:sz w:val="18"/>
          <w:szCs w:val="18"/>
          <w:lang w:eastAsia="pl-PL" w:bidi="pl-PL"/>
        </w:rPr>
        <w:t xml:space="preserve"> w wysokości nie mniejszej niż 75</w:t>
      </w:r>
      <w:r w:rsidRPr="006E075B">
        <w:rPr>
          <w:rFonts w:ascii="Arial" w:eastAsia="Courier New" w:hAnsi="Arial" w:cs="Arial"/>
          <w:color w:val="000000"/>
          <w:sz w:val="18"/>
          <w:szCs w:val="18"/>
          <w:lang w:eastAsia="pl-PL" w:bidi="pl-PL"/>
        </w:rPr>
        <w:t>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8519AB">
      <w:pPr>
        <w:widowControl w:val="0"/>
        <w:numPr>
          <w:ilvl w:val="0"/>
          <w:numId w:val="17"/>
        </w:numPr>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co najmniej trzy zamówienia polegając</w:t>
      </w:r>
      <w:r>
        <w:rPr>
          <w:rFonts w:ascii="Arial" w:eastAsia="Courier New" w:hAnsi="Arial" w:cs="Arial"/>
          <w:color w:val="000000"/>
          <w:sz w:val="18"/>
          <w:szCs w:val="18"/>
          <w:lang w:eastAsia="pl-PL"/>
        </w:rPr>
        <w:t>e na wykonaniu robót budowlanych</w:t>
      </w:r>
      <w:r w:rsidRPr="00A82972">
        <w:rPr>
          <w:rFonts w:ascii="Arial" w:eastAsia="Courier New" w:hAnsi="Arial" w:cs="Arial"/>
          <w:color w:val="000000"/>
          <w:sz w:val="18"/>
          <w:szCs w:val="18"/>
          <w:lang w:eastAsia="pl-PL"/>
        </w:rPr>
        <w:t xml:space="preserve"> o wartości nie mniejszej niż 1.500 000,00 zł </w:t>
      </w:r>
      <w:r w:rsidR="008638C6">
        <w:rPr>
          <w:rFonts w:ascii="Arial" w:eastAsia="Courier New" w:hAnsi="Arial" w:cs="Arial"/>
          <w:color w:val="000000"/>
          <w:sz w:val="18"/>
          <w:szCs w:val="18"/>
          <w:lang w:eastAsia="pl-PL"/>
        </w:rPr>
        <w:t>netto</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8638C6" w:rsidRPr="008638C6" w:rsidRDefault="00B52FB2" w:rsidP="008638C6">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8638C6">
        <w:rPr>
          <w:rFonts w:ascii="Arial" w:eastAsia="Courier New" w:hAnsi="Arial" w:cs="Arial"/>
          <w:color w:val="000000"/>
          <w:sz w:val="18"/>
          <w:szCs w:val="18"/>
          <w:lang w:eastAsia="pl-PL"/>
        </w:rPr>
        <w:t xml:space="preserve">co najmniej 1 raz pełniła funkcję kierownika budowy której przedmiotem były roboty budowlane o wartości nie mniejszej niż 1.500 000,00 zł netto </w:t>
      </w:r>
    </w:p>
    <w:p w:rsidR="00B52FB2" w:rsidRPr="008638C6" w:rsidRDefault="00B52FB2" w:rsidP="008519AB">
      <w:pPr>
        <w:pStyle w:val="Akapitzlist"/>
        <w:numPr>
          <w:ilvl w:val="0"/>
          <w:numId w:val="17"/>
        </w:numPr>
        <w:spacing w:line="276" w:lineRule="auto"/>
        <w:ind w:left="1369"/>
        <w:jc w:val="both"/>
        <w:rPr>
          <w:rFonts w:ascii="Arial" w:hAnsi="Arial" w:cs="Arial"/>
          <w:sz w:val="18"/>
          <w:szCs w:val="18"/>
        </w:rPr>
      </w:pPr>
      <w:r w:rsidRPr="008638C6">
        <w:rPr>
          <w:rFonts w:ascii="Arial" w:hAnsi="Arial" w:cs="Arial"/>
          <w:sz w:val="18"/>
          <w:szCs w:val="18"/>
        </w:rPr>
        <w:t xml:space="preserve">1 (jedną) osobą, która będzie pełniła funkcję </w:t>
      </w:r>
      <w:r w:rsidRPr="008638C6">
        <w:rPr>
          <w:rFonts w:ascii="Arial" w:hAnsi="Arial" w:cs="Arial"/>
          <w:b/>
          <w:bCs/>
          <w:sz w:val="18"/>
          <w:szCs w:val="18"/>
        </w:rPr>
        <w:t>kierownika robót w branży elektrycznej</w:t>
      </w:r>
      <w:r w:rsidRPr="008638C6">
        <w:rPr>
          <w:rFonts w:ascii="Arial" w:hAnsi="Arial" w:cs="Arial"/>
          <w:sz w:val="18"/>
          <w:szCs w:val="18"/>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w:t>
      </w:r>
      <w:r w:rsidRPr="007D434C">
        <w:rPr>
          <w:rFonts w:ascii="Arial" w:hAnsi="Arial" w:cs="Arial"/>
          <w:sz w:val="18"/>
          <w:szCs w:val="18"/>
        </w:rPr>
        <w:lastRenderedPageBreak/>
        <w:t xml:space="preserve">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w:t>
      </w:r>
      <w:r w:rsidRPr="007D434C">
        <w:rPr>
          <w:rFonts w:ascii="Arial" w:eastAsia="Arial" w:hAnsi="Arial" w:cs="Arial"/>
          <w:color w:val="000000"/>
          <w:sz w:val="18"/>
          <w:szCs w:val="18"/>
          <w:lang w:eastAsia="pl-PL" w:bidi="pl-PL"/>
        </w:rPr>
        <w:lastRenderedPageBreak/>
        <w:t xml:space="preserve">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Jeżeli Wykonawca ma siedzibę lub miejsce zamieszkania poza terytorium Rzeczypospolitej Polskiej, zamiast </w:t>
      </w:r>
      <w:r w:rsidRPr="003659B7">
        <w:rPr>
          <w:rFonts w:ascii="Arial" w:eastAsia="Arial" w:hAnsi="Arial" w:cs="Arial"/>
          <w:bCs/>
          <w:sz w:val="18"/>
          <w:szCs w:val="18"/>
        </w:rPr>
        <w:lastRenderedPageBreak/>
        <w:t>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w:t>
      </w:r>
      <w:r w:rsidRPr="00473EC5">
        <w:rPr>
          <w:rFonts w:ascii="Arial" w:eastAsia="Arial" w:hAnsi="Arial" w:cs="Arial"/>
          <w:bCs/>
          <w:sz w:val="18"/>
          <w:szCs w:val="18"/>
        </w:rPr>
        <w:lastRenderedPageBreak/>
        <w:t xml:space="preserve">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w:t>
      </w:r>
      <w:r w:rsidRPr="00357BB8">
        <w:rPr>
          <w:rFonts w:ascii="Arial" w:eastAsia="Arial" w:hAnsi="Arial" w:cs="Arial"/>
          <w:bCs/>
          <w:sz w:val="18"/>
          <w:szCs w:val="18"/>
        </w:rPr>
        <w:lastRenderedPageBreak/>
        <w:t>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8F2DE1"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20</w:t>
      </w:r>
      <w:r w:rsidR="006E075B" w:rsidRPr="006E075B">
        <w:rPr>
          <w:rFonts w:ascii="Arial" w:eastAsia="Arial" w:hAnsi="Arial" w:cs="Arial"/>
          <w:b/>
          <w:bCs/>
          <w:color w:val="000000"/>
          <w:sz w:val="18"/>
          <w:szCs w:val="18"/>
          <w:lang w:eastAsia="pl-PL" w:bidi="pl-PL"/>
        </w:rPr>
        <w:t xml:space="preserve"> 000,00 zł </w:t>
      </w:r>
      <w:r w:rsidR="006E075B" w:rsidRPr="006E075B">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dwadzieścia</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 xml:space="preserve">Wykonawca będzie związany ofertą przez okres 30 dni, tj. do dnia </w:t>
      </w:r>
      <w:r w:rsidR="00003F05">
        <w:rPr>
          <w:rFonts w:ascii="Arial" w:eastAsia="Arial" w:hAnsi="Arial" w:cs="Arial"/>
          <w:bCs/>
          <w:color w:val="000000"/>
          <w:sz w:val="18"/>
          <w:szCs w:val="18"/>
          <w:lang w:eastAsia="pl-PL" w:bidi="pl-PL"/>
        </w:rPr>
        <w:t>1</w:t>
      </w:r>
      <w:r w:rsidR="008638C6">
        <w:rPr>
          <w:rFonts w:ascii="Arial" w:eastAsia="Arial" w:hAnsi="Arial" w:cs="Arial"/>
          <w:bCs/>
          <w:color w:val="000000"/>
          <w:sz w:val="18"/>
          <w:szCs w:val="18"/>
          <w:lang w:eastAsia="pl-PL" w:bidi="pl-PL"/>
        </w:rPr>
        <w:t>5.07</w:t>
      </w:r>
      <w:bookmarkStart w:id="12" w:name="_GoBack"/>
      <w:bookmarkEnd w:id="12"/>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511285">
        <w:rPr>
          <w:rFonts w:ascii="Arial" w:eastAsia="Arial" w:hAnsi="Arial" w:cs="Arial"/>
          <w:bCs/>
          <w:color w:val="000000"/>
          <w:sz w:val="18"/>
          <w:szCs w:val="18"/>
          <w:lang w:eastAsia="pl-PL" w:bidi="pl-PL"/>
        </w:rPr>
        <w:t>3-</w:t>
      </w:r>
      <w:r w:rsidR="008638C6">
        <w:rPr>
          <w:rFonts w:ascii="Arial" w:eastAsia="Arial" w:hAnsi="Arial" w:cs="Arial"/>
          <w:bCs/>
          <w:color w:val="000000"/>
          <w:sz w:val="18"/>
          <w:szCs w:val="18"/>
          <w:lang w:eastAsia="pl-PL" w:bidi="pl-PL"/>
        </w:rPr>
        <w:t>16.06</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10.00.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8638C6">
        <w:rPr>
          <w:rFonts w:ascii="Arial" w:eastAsia="Arial" w:hAnsi="Arial" w:cs="Arial"/>
          <w:bCs/>
          <w:color w:val="000000"/>
          <w:sz w:val="18"/>
          <w:szCs w:val="18"/>
          <w:lang w:eastAsia="pl-PL" w:bidi="pl-PL"/>
        </w:rPr>
        <w:t>16.06</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8638C6">
        <w:rPr>
          <w:rFonts w:ascii="Arial" w:eastAsia="Arial" w:hAnsi="Arial" w:cs="Arial"/>
          <w:bCs/>
          <w:color w:val="000000"/>
          <w:sz w:val="18"/>
          <w:szCs w:val="18"/>
          <w:lang w:eastAsia="pl-PL" w:bidi="pl-PL"/>
        </w:rPr>
        <w:t>0.3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gwarancji i rękojmi w miesiącach, w przeciwnym wypadku Zamawiający do celów punktacji zaokrągli podany okres „w dół” do wartości niższej (np. </w:t>
      </w:r>
      <w:r w:rsidRPr="00842B77">
        <w:rPr>
          <w:rFonts w:ascii="Arial" w:eastAsia="Arial" w:hAnsi="Arial" w:cs="Arial"/>
          <w:b/>
          <w:bCs/>
          <w:color w:val="000000"/>
          <w:sz w:val="18"/>
          <w:szCs w:val="18"/>
          <w:lang w:eastAsia="pl-PL" w:bidi="pl-PL"/>
        </w:rPr>
        <w:lastRenderedPageBreak/>
        <w:t>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lastRenderedPageBreak/>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A30222">
      <w:pPr>
        <w:spacing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w:t>
      </w:r>
      <w:r w:rsidRPr="00A30222">
        <w:rPr>
          <w:rFonts w:ascii="Arial" w:eastAsia="Arial" w:hAnsi="Arial" w:cs="Arial"/>
          <w:sz w:val="18"/>
          <w:szCs w:val="18"/>
        </w:rPr>
        <w:lastRenderedPageBreak/>
        <w:t xml:space="preserve">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D2" w:rsidRDefault="003136D2" w:rsidP="005841E8">
      <w:pPr>
        <w:spacing w:after="0" w:line="240" w:lineRule="auto"/>
      </w:pPr>
      <w:r>
        <w:separator/>
      </w:r>
    </w:p>
  </w:endnote>
  <w:endnote w:type="continuationSeparator" w:id="0">
    <w:p w:rsidR="003136D2" w:rsidRDefault="003136D2"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9B" w:rsidRDefault="0078399B"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78399B" w:rsidRPr="002C2F03" w:rsidRDefault="0078399B" w:rsidP="002C2F03">
    <w:pPr>
      <w:pStyle w:val="Stopka0"/>
      <w:jc w:val="center"/>
      <w:rPr>
        <w:rFonts w:asciiTheme="minorHAnsi" w:hAnsiTheme="minorHAnsi" w:cstheme="minorHAnsi"/>
        <w:sz w:val="6"/>
        <w:szCs w:val="20"/>
      </w:rPr>
    </w:pPr>
  </w:p>
  <w:p w:rsidR="0078399B" w:rsidRPr="002C2F03" w:rsidRDefault="0078399B" w:rsidP="002C2F03">
    <w:pPr>
      <w:pStyle w:val="Stopka0"/>
      <w:jc w:val="center"/>
      <w:rPr>
        <w:rFonts w:asciiTheme="minorHAnsi" w:hAnsiTheme="minorHAnsi" w:cstheme="minorHAnsi"/>
        <w:sz w:val="16"/>
        <w:szCs w:val="20"/>
      </w:rP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 xml:space="preserve">w ramach Regionalnego Programu Operacyjnego Województwa Kujawsko Pomorskiego na lata 2014-2020 Oś Priorytetowa </w:t>
    </w:r>
    <w:r w:rsidRPr="00230FA6">
      <w:rPr>
        <w:rFonts w:asciiTheme="minorHAnsi" w:hAnsiTheme="minorHAnsi" w:cstheme="minorHAnsi"/>
        <w:sz w:val="16"/>
        <w:szCs w:val="20"/>
      </w:rPr>
      <w:t>7 Rozwój lokalny kierowany przez społeczność, Działania 7.1 Rozwój lokalny kierowany przez społeczność</w:t>
    </w:r>
    <w:r>
      <w:rPr>
        <w:rFonts w:asciiTheme="minorHAnsi" w:hAnsiTheme="minorHAnsi" w:cstheme="minorHAnsi"/>
        <w:sz w:val="16"/>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D2" w:rsidRDefault="003136D2" w:rsidP="005841E8">
      <w:pPr>
        <w:spacing w:after="0" w:line="240" w:lineRule="auto"/>
      </w:pPr>
      <w:r>
        <w:separator/>
      </w:r>
    </w:p>
  </w:footnote>
  <w:footnote w:type="continuationSeparator" w:id="0">
    <w:p w:rsidR="003136D2" w:rsidRDefault="003136D2"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9B" w:rsidRDefault="0078399B">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78399B" w:rsidRDefault="0078399B">
    <w:pPr>
      <w:pStyle w:val="Nagwek"/>
    </w:pPr>
  </w:p>
  <w:p w:rsidR="0078399B" w:rsidRDefault="0078399B">
    <w:pPr>
      <w:pStyle w:val="Nagwek"/>
    </w:pPr>
  </w:p>
  <w:p w:rsidR="0078399B" w:rsidRDefault="0078399B" w:rsidP="0099046B">
    <w:pPr>
      <w:pStyle w:val="Nagwek"/>
      <w:pBdr>
        <w:bottom w:val="single" w:sz="6" w:space="1" w:color="auto"/>
      </w:pBdr>
      <w:ind w:left="-709" w:right="-506"/>
    </w:pPr>
  </w:p>
  <w:p w:rsidR="0078399B" w:rsidRDefault="0078399B" w:rsidP="0099046B">
    <w:pPr>
      <w:pStyle w:val="Nagwek"/>
      <w:pBdr>
        <w:bottom w:val="single" w:sz="6" w:space="1" w:color="auto"/>
      </w:pBdr>
      <w:ind w:left="-709" w:right="-506"/>
    </w:pPr>
  </w:p>
  <w:p w:rsidR="0078399B" w:rsidRDefault="0078399B"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3"/>
  </w:num>
  <w:num w:numId="3">
    <w:abstractNumId w:val="39"/>
  </w:num>
  <w:num w:numId="4">
    <w:abstractNumId w:val="10"/>
  </w:num>
  <w:num w:numId="5">
    <w:abstractNumId w:val="42"/>
  </w:num>
  <w:num w:numId="6">
    <w:abstractNumId w:val="28"/>
  </w:num>
  <w:num w:numId="7">
    <w:abstractNumId w:val="3"/>
  </w:num>
  <w:num w:numId="8">
    <w:abstractNumId w:val="11"/>
  </w:num>
  <w:num w:numId="9">
    <w:abstractNumId w:val="7"/>
  </w:num>
  <w:num w:numId="10">
    <w:abstractNumId w:val="12"/>
  </w:num>
  <w:num w:numId="11">
    <w:abstractNumId w:val="59"/>
  </w:num>
  <w:num w:numId="12">
    <w:abstractNumId w:val="19"/>
  </w:num>
  <w:num w:numId="13">
    <w:abstractNumId w:val="47"/>
  </w:num>
  <w:num w:numId="14">
    <w:abstractNumId w:val="20"/>
  </w:num>
  <w:num w:numId="15">
    <w:abstractNumId w:val="52"/>
  </w:num>
  <w:num w:numId="16">
    <w:abstractNumId w:val="26"/>
  </w:num>
  <w:num w:numId="17">
    <w:abstractNumId w:val="48"/>
  </w:num>
  <w:num w:numId="18">
    <w:abstractNumId w:val="50"/>
  </w:num>
  <w:num w:numId="19">
    <w:abstractNumId w:val="24"/>
  </w:num>
  <w:num w:numId="20">
    <w:abstractNumId w:val="44"/>
  </w:num>
  <w:num w:numId="21">
    <w:abstractNumId w:val="41"/>
  </w:num>
  <w:num w:numId="22">
    <w:abstractNumId w:val="43"/>
  </w:num>
  <w:num w:numId="23">
    <w:abstractNumId w:val="45"/>
  </w:num>
  <w:num w:numId="24">
    <w:abstractNumId w:val="5"/>
  </w:num>
  <w:num w:numId="25">
    <w:abstractNumId w:val="60"/>
  </w:num>
  <w:num w:numId="26">
    <w:abstractNumId w:val="2"/>
  </w:num>
  <w:num w:numId="27">
    <w:abstractNumId w:val="58"/>
  </w:num>
  <w:num w:numId="28">
    <w:abstractNumId w:val="38"/>
  </w:num>
  <w:num w:numId="29">
    <w:abstractNumId w:val="40"/>
  </w:num>
  <w:num w:numId="30">
    <w:abstractNumId w:val="29"/>
  </w:num>
  <w:num w:numId="31">
    <w:abstractNumId w:val="35"/>
  </w:num>
  <w:num w:numId="32">
    <w:abstractNumId w:val="51"/>
  </w:num>
  <w:num w:numId="33">
    <w:abstractNumId w:val="18"/>
  </w:num>
  <w:num w:numId="34">
    <w:abstractNumId w:val="0"/>
  </w:num>
  <w:num w:numId="35">
    <w:abstractNumId w:val="22"/>
  </w:num>
  <w:num w:numId="36">
    <w:abstractNumId w:val="21"/>
  </w:num>
  <w:num w:numId="37">
    <w:abstractNumId w:val="54"/>
  </w:num>
  <w:num w:numId="38">
    <w:abstractNumId w:val="1"/>
  </w:num>
  <w:num w:numId="39">
    <w:abstractNumId w:val="14"/>
  </w:num>
  <w:num w:numId="40">
    <w:abstractNumId w:val="55"/>
  </w:num>
  <w:num w:numId="41">
    <w:abstractNumId w:val="27"/>
  </w:num>
  <w:num w:numId="42">
    <w:abstractNumId w:val="37"/>
  </w:num>
  <w:num w:numId="43">
    <w:abstractNumId w:val="31"/>
  </w:num>
  <w:num w:numId="44">
    <w:abstractNumId w:val="46"/>
  </w:num>
  <w:num w:numId="45">
    <w:abstractNumId w:val="17"/>
  </w:num>
  <w:num w:numId="46">
    <w:abstractNumId w:val="15"/>
  </w:num>
  <w:num w:numId="47">
    <w:abstractNumId w:val="49"/>
  </w:num>
  <w:num w:numId="48">
    <w:abstractNumId w:val="6"/>
  </w:num>
  <w:num w:numId="49">
    <w:abstractNumId w:val="23"/>
  </w:num>
  <w:num w:numId="50">
    <w:abstractNumId w:val="16"/>
  </w:num>
  <w:num w:numId="51">
    <w:abstractNumId w:val="25"/>
  </w:num>
  <w:num w:numId="52">
    <w:abstractNumId w:val="32"/>
  </w:num>
  <w:num w:numId="53">
    <w:abstractNumId w:val="30"/>
  </w:num>
  <w:num w:numId="54">
    <w:abstractNumId w:val="62"/>
  </w:num>
  <w:num w:numId="55">
    <w:abstractNumId w:val="56"/>
  </w:num>
  <w:num w:numId="56">
    <w:abstractNumId w:val="33"/>
  </w:num>
  <w:num w:numId="57">
    <w:abstractNumId w:val="13"/>
  </w:num>
  <w:num w:numId="58">
    <w:abstractNumId w:val="8"/>
  </w:num>
  <w:num w:numId="59">
    <w:abstractNumId w:val="4"/>
  </w:num>
  <w:num w:numId="60">
    <w:abstractNumId w:val="34"/>
  </w:num>
  <w:num w:numId="61">
    <w:abstractNumId w:val="9"/>
  </w:num>
  <w:num w:numId="62">
    <w:abstractNumId w:val="57"/>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03F05"/>
    <w:rsid w:val="00040516"/>
    <w:rsid w:val="000F491B"/>
    <w:rsid w:val="001237A6"/>
    <w:rsid w:val="0012396A"/>
    <w:rsid w:val="001539BB"/>
    <w:rsid w:val="001D4C09"/>
    <w:rsid w:val="00230FA6"/>
    <w:rsid w:val="002C2F03"/>
    <w:rsid w:val="003136D2"/>
    <w:rsid w:val="00357BB8"/>
    <w:rsid w:val="003659B7"/>
    <w:rsid w:val="00371A0C"/>
    <w:rsid w:val="003B7F0D"/>
    <w:rsid w:val="00407C91"/>
    <w:rsid w:val="0042116A"/>
    <w:rsid w:val="0046269A"/>
    <w:rsid w:val="00462ED0"/>
    <w:rsid w:val="00473EC5"/>
    <w:rsid w:val="00475494"/>
    <w:rsid w:val="004A0B34"/>
    <w:rsid w:val="004A47A6"/>
    <w:rsid w:val="004C27C6"/>
    <w:rsid w:val="004D3EFD"/>
    <w:rsid w:val="00510914"/>
    <w:rsid w:val="00511285"/>
    <w:rsid w:val="00516D54"/>
    <w:rsid w:val="0056502C"/>
    <w:rsid w:val="00565DB3"/>
    <w:rsid w:val="005841E8"/>
    <w:rsid w:val="005A7286"/>
    <w:rsid w:val="005C1DC8"/>
    <w:rsid w:val="00600731"/>
    <w:rsid w:val="006250CD"/>
    <w:rsid w:val="0063424C"/>
    <w:rsid w:val="00671487"/>
    <w:rsid w:val="006B2998"/>
    <w:rsid w:val="006D3F44"/>
    <w:rsid w:val="006E075B"/>
    <w:rsid w:val="006F71BD"/>
    <w:rsid w:val="006F756C"/>
    <w:rsid w:val="00760ADE"/>
    <w:rsid w:val="0078399B"/>
    <w:rsid w:val="00785B60"/>
    <w:rsid w:val="007A1EAA"/>
    <w:rsid w:val="007D434C"/>
    <w:rsid w:val="007E1D47"/>
    <w:rsid w:val="007E2243"/>
    <w:rsid w:val="00810645"/>
    <w:rsid w:val="00842B77"/>
    <w:rsid w:val="008441A6"/>
    <w:rsid w:val="008519AB"/>
    <w:rsid w:val="008638C6"/>
    <w:rsid w:val="008B09B8"/>
    <w:rsid w:val="008B20A2"/>
    <w:rsid w:val="008C0910"/>
    <w:rsid w:val="008C1E2B"/>
    <w:rsid w:val="008E5B7B"/>
    <w:rsid w:val="008F2DE1"/>
    <w:rsid w:val="0090463B"/>
    <w:rsid w:val="0091563B"/>
    <w:rsid w:val="009204C3"/>
    <w:rsid w:val="00932D58"/>
    <w:rsid w:val="00954A3C"/>
    <w:rsid w:val="0099046B"/>
    <w:rsid w:val="009E2353"/>
    <w:rsid w:val="009E3153"/>
    <w:rsid w:val="009F6DEB"/>
    <w:rsid w:val="00A0404C"/>
    <w:rsid w:val="00A11E82"/>
    <w:rsid w:val="00A30222"/>
    <w:rsid w:val="00A34335"/>
    <w:rsid w:val="00A82972"/>
    <w:rsid w:val="00AD0B34"/>
    <w:rsid w:val="00B01111"/>
    <w:rsid w:val="00B3064C"/>
    <w:rsid w:val="00B41768"/>
    <w:rsid w:val="00B52FB2"/>
    <w:rsid w:val="00B6397B"/>
    <w:rsid w:val="00BA2702"/>
    <w:rsid w:val="00BB023E"/>
    <w:rsid w:val="00BD56AE"/>
    <w:rsid w:val="00C73353"/>
    <w:rsid w:val="00CA7F3A"/>
    <w:rsid w:val="00D21C61"/>
    <w:rsid w:val="00D2491F"/>
    <w:rsid w:val="00D51EAD"/>
    <w:rsid w:val="00D75686"/>
    <w:rsid w:val="00DC5552"/>
    <w:rsid w:val="00DD4577"/>
    <w:rsid w:val="00E5692E"/>
    <w:rsid w:val="00E57EC0"/>
    <w:rsid w:val="00EA25FF"/>
    <w:rsid w:val="00EE2BC3"/>
    <w:rsid w:val="00EE7671"/>
    <w:rsid w:val="00F06EE3"/>
    <w:rsid w:val="00F45F22"/>
    <w:rsid w:val="00F64894"/>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11826</Words>
  <Characters>70962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4</cp:revision>
  <dcterms:created xsi:type="dcterms:W3CDTF">2021-05-05T12:04:00Z</dcterms:created>
  <dcterms:modified xsi:type="dcterms:W3CDTF">2021-05-31T13:23:00Z</dcterms:modified>
</cp:coreProperties>
</file>