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Załącznik nr 3 do SIW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(na podstawie ustawy z dnia 29.01.2004r. Prawo zamówień publicznych)</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Projektu: „Zagospodarowanie przestrzeni wiejskich w Markowicach". Projekt współfinansowany przez Unię Europejską w ramach Regionalnego Programu Województwa Kujawsko - Pomorskiego na lata 20</w:t>
      </w:r>
      <w:bookmarkStart w:id="0" w:name="_GoBack"/>
      <w:r w:rsidR="00EA4340" w:rsidRPr="00EA4340">
        <w:rPr>
          <w:rFonts w:ascii="Arial" w:eastAsia="Arial" w:hAnsi="Arial" w:cs="Arial"/>
          <w:sz w:val="18"/>
          <w:szCs w:val="18"/>
        </w:rPr>
        <w:t>14</w:t>
      </w:r>
      <w:bookmarkEnd w:id="0"/>
      <w:r w:rsidR="00EA4340" w:rsidRPr="00EA4340">
        <w:rPr>
          <w:rFonts w:ascii="Arial" w:eastAsia="Arial" w:hAnsi="Arial" w:cs="Arial"/>
          <w:sz w:val="18"/>
          <w:szCs w:val="18"/>
        </w:rPr>
        <w:t>-2020 (Europejskiego Funduszu Rozwoju Regionalnego), oś priorytetowa 7 Rozwój lokalny kierowany przez społeczność, Działania 7.1 Rozwój lokalny kierowany przez społeczność; Umowa o dofinansowanie nr UM_WR.431.1.480.2020 z dnia 30.10.2020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EA4340">
      <w:pPr>
        <w:pStyle w:val="Akapitzlist"/>
        <w:numPr>
          <w:ilvl w:val="0"/>
          <w:numId w:val="10"/>
        </w:numPr>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A4340" w:rsidRPr="00EA4340">
        <w:rPr>
          <w:rFonts w:ascii="Arial" w:eastAsia="Arial" w:hAnsi="Arial" w:cs="Arial"/>
          <w:sz w:val="18"/>
          <w:szCs w:val="18"/>
          <w:lang w:val="de-DE"/>
        </w:rPr>
        <w:t>ROR-3041-15</w:t>
      </w:r>
      <w:r w:rsidR="005F1003" w:rsidRPr="00EA4340">
        <w:rPr>
          <w:rFonts w:ascii="Arial" w:eastAsia="Arial" w:hAnsi="Arial" w:cs="Arial"/>
          <w:sz w:val="18"/>
          <w:szCs w:val="18"/>
          <w:lang w:val="de-DE"/>
        </w:rPr>
        <w:t>-2020</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(SIWZ - </w:t>
      </w:r>
      <w:r w:rsidR="57DEB98F" w:rsidRPr="00EA4340">
        <w:rPr>
          <w:rFonts w:ascii="Arial" w:eastAsia="Arial" w:hAnsi="Arial" w:cs="Arial"/>
          <w:sz w:val="18"/>
          <w:szCs w:val="18"/>
          <w:lang w:val="de-DE"/>
        </w:rPr>
        <w:t>rozdz. II</w:t>
      </w:r>
      <w:r w:rsidR="180404B8" w:rsidRPr="00EA4340">
        <w:rPr>
          <w:rFonts w:ascii="Arial" w:eastAsia="Arial" w:hAnsi="Arial" w:cs="Arial"/>
          <w:sz w:val="18"/>
          <w:szCs w:val="18"/>
          <w:lang w:val="de-DE"/>
        </w:rPr>
        <w:t>, ust. 1 pkt 4)</w:t>
      </w:r>
      <w:r w:rsidR="337E9379" w:rsidRPr="00EA4340">
        <w:rPr>
          <w:rFonts w:ascii="Arial" w:eastAsia="Arial" w:hAnsi="Arial" w:cs="Arial"/>
          <w:sz w:val="18"/>
          <w:szCs w:val="18"/>
          <w:lang w:val="de-DE"/>
        </w:rPr>
        <w:t xml:space="preserve"> 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polegajac</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na</w:t>
      </w:r>
      <w:r w:rsidR="005F1003" w:rsidRPr="00EA4340">
        <w:rPr>
          <w:rFonts w:ascii="Arial" w:eastAsia="Arial" w:hAnsi="Arial" w:cs="Arial"/>
          <w:bCs/>
          <w:color w:val="000000"/>
          <w:sz w:val="18"/>
          <w:szCs w:val="18"/>
          <w:lang w:eastAsia="pl-PL" w:bidi="pl-PL"/>
        </w:rPr>
        <w:t xml:space="preserve"> </w:t>
      </w:r>
      <w:r w:rsidR="00EA4340" w:rsidRPr="00EA4340">
        <w:rPr>
          <w:rFonts w:ascii="Arial" w:eastAsia="Arial" w:hAnsi="Arial" w:cs="Arial"/>
          <w:bCs/>
          <w:sz w:val="18"/>
          <w:szCs w:val="18"/>
          <w:lang w:val="de-DE" w:bidi="pl-PL"/>
        </w:rPr>
        <w:t>zagospodarowaniu terenu wokół szkoły podstawowej im. Gustawa Zielińskiego w Markowicach oraz budowa zadaszenia nad boiskiem sportowym, które zlokalizowano na terenie działki nr 16/8, obręb 0012 Markowice, pod adresem Markowice 28, 88-320 Strzelno. Obowiązkiem Wykonawcy będzie również uzyskanie w imieniu Zamawiającego prawomocnego pozwolenia na użytkowanie obiektu.</w:t>
      </w:r>
    </w:p>
    <w:p w:rsidR="00355EC6" w:rsidRPr="00EA4340" w:rsidRDefault="00355EC6" w:rsidP="00E069CE">
      <w:pPr>
        <w:pStyle w:val="Akapitzlist"/>
        <w:numPr>
          <w:ilvl w:val="0"/>
          <w:numId w:val="10"/>
        </w:numPr>
        <w:spacing w:line="276" w:lineRule="auto"/>
        <w:rPr>
          <w:rFonts w:ascii="Arial" w:eastAsia="Arial" w:hAnsi="Arial" w:cs="Arial"/>
          <w:sz w:val="18"/>
          <w:szCs w:val="18"/>
          <w:lang w:val="de-DE"/>
        </w:rPr>
      </w:pPr>
      <w:r w:rsidRPr="00EA4340">
        <w:rPr>
          <w:rFonts w:ascii="Arial" w:eastAsia="Arial" w:hAnsi="Arial" w:cs="Arial"/>
          <w:sz w:val="18"/>
          <w:szCs w:val="18"/>
          <w:lang w:val="de-DE"/>
        </w:rPr>
        <w:t xml:space="preserve">Szczegółowy zakres robót określono w dokumentacji technicznej obejmującej: dokumentację projektową w tym m.in. specyfikacje techniczne wykonania i odbioru robót budowlanych, przedmiary robót, uzgodnienia </w:t>
      </w:r>
      <w:r w:rsidRPr="00EA4340">
        <w:rPr>
          <w:rFonts w:ascii="Arial" w:eastAsia="Arial" w:hAnsi="Arial" w:cs="Arial"/>
          <w:sz w:val="18"/>
          <w:szCs w:val="18"/>
          <w:lang w:val="de-DE"/>
        </w:rPr>
        <w:lastRenderedPageBreak/>
        <w:t>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29 ust. 3a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lastRenderedPageBreak/>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29 ust. 3a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 ramach czynności kontrolnych przestrzegania wymogu, o którym mowa w art. 29 ust. 3a ustawy Pzp,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lastRenderedPageBreak/>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art. 150 ust. 7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zasoby Wykonawca powoływał się, na zasadach określonych w art. 22a ust. 1 ustawy Pzp, w celu wykazania </w:t>
      </w:r>
      <w:r w:rsidRPr="00693A66">
        <w:rPr>
          <w:rFonts w:ascii="Arial" w:eastAsia="Palatino Linotype" w:hAnsi="Arial" w:cs="Arial"/>
          <w:sz w:val="18"/>
          <w:szCs w:val="18"/>
        </w:rPr>
        <w:lastRenderedPageBreak/>
        <w:t>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lastRenderedPageBreak/>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w:t>
      </w:r>
      <w:r w:rsidR="1200B1E9" w:rsidRPr="003469A7">
        <w:rPr>
          <w:rFonts w:ascii="Arial" w:eastAsia="Arial" w:hAnsi="Arial" w:cs="Arial"/>
          <w:bCs/>
          <w:sz w:val="18"/>
          <w:szCs w:val="18"/>
          <w:lang w:val="de-DE"/>
        </w:rPr>
        <w:lastRenderedPageBreak/>
        <w:t xml:space="preserve">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lastRenderedPageBreak/>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lastRenderedPageBreak/>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D747D">
        <w:rPr>
          <w:rFonts w:ascii="Arial" w:eastAsia="Arial" w:hAnsi="Arial" w:cs="Arial"/>
          <w:sz w:val="18"/>
          <w:szCs w:val="18"/>
          <w:u w:val="single"/>
        </w:rPr>
        <w:t>do 1</w:t>
      </w:r>
      <w:r w:rsidR="000B0DAE">
        <w:rPr>
          <w:rFonts w:ascii="Arial" w:eastAsia="Arial" w:hAnsi="Arial" w:cs="Arial"/>
          <w:sz w:val="18"/>
          <w:szCs w:val="18"/>
          <w:u w:val="single"/>
        </w:rPr>
        <w:t>6</w:t>
      </w:r>
      <w:r w:rsidR="00BD747D">
        <w:rPr>
          <w:rFonts w:ascii="Arial" w:eastAsia="Arial" w:hAnsi="Arial" w:cs="Arial"/>
          <w:sz w:val="18"/>
          <w:szCs w:val="18"/>
          <w:u w:val="single"/>
        </w:rPr>
        <w:t xml:space="preserve"> sierpnia 2021 r.</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lastRenderedPageBreak/>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lastRenderedPageBreak/>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w:t>
      </w:r>
      <w:r w:rsidRPr="002E71F3">
        <w:rPr>
          <w:rFonts w:ascii="Arial" w:hAnsi="Arial" w:cs="Arial"/>
          <w:sz w:val="18"/>
          <w:szCs w:val="18"/>
        </w:rPr>
        <w:lastRenderedPageBreak/>
        <w:t xml:space="preserve">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W przypadku wykonywania przez Zamawiającego uprawnień z gwarancji bieg terminu do wykonania uprawnień z tytułu rękojmi ulega zawieszeniu z dniem zawiadomienia Wykonawcy o wadzie. Termin ten </w:t>
      </w:r>
      <w:r w:rsidRPr="795F9214">
        <w:rPr>
          <w:rFonts w:ascii="Arial" w:eastAsia="Arial" w:hAnsi="Arial" w:cs="Arial"/>
          <w:sz w:val="18"/>
          <w:szCs w:val="18"/>
          <w:lang w:val="de-DE"/>
        </w:rPr>
        <w:lastRenderedPageBreak/>
        <w:t>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Łączny limit kar umownych, jakich Zamawiający może żądać od Wykonawcy ze wszystkich tytułów przewidzianych w ust. 2,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lastRenderedPageBreak/>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lastRenderedPageBreak/>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DD1A98" w:rsidRDefault="00DD1A98" w:rsidP="00C54DEF">
      <w:pPr>
        <w:pStyle w:val="Akapitzlist"/>
        <w:numPr>
          <w:ilvl w:val="1"/>
          <w:numId w:val="17"/>
        </w:numPr>
        <w:spacing w:line="276" w:lineRule="auto"/>
        <w:ind w:left="283"/>
        <w:jc w:val="both"/>
        <w:rPr>
          <w:rFonts w:eastAsiaTheme="minorEastAsia"/>
          <w:sz w:val="18"/>
          <w:szCs w:val="18"/>
        </w:rPr>
      </w:pPr>
      <w:r w:rsidRPr="5D91E567">
        <w:rPr>
          <w:rFonts w:ascii="Arial" w:eastAsia="Arial" w:hAnsi="Arial" w:cs="Arial"/>
          <w:sz w:val="18"/>
          <w:szCs w:val="18"/>
          <w:lang w:val="de-D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Zamawiający może rozwiązać umowę, jeżeli zachodzi co najmniej jedna z następujących okoliczności:</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zmiana umowy została dokonana z naruszeniem art. 144 ust. 1-1b, 1d i 1e ustawy z dnia 29 stycznia 2004 r. Prawo zamówień publicznych;</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Wykonawca w chwili zawarcia umowy podlegał wykluczeniu z postępowania na podstawie art. 24 ust. 1 ustawy Pzp;</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rozwiązaniu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lastRenderedPageBreak/>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C54DEF">
      <w:pPr>
        <w:pStyle w:val="Akapitzlist"/>
        <w:numPr>
          <w:ilvl w:val="0"/>
          <w:numId w:val="13"/>
        </w:numPr>
        <w:spacing w:line="276" w:lineRule="auto"/>
        <w:ind w:left="360"/>
        <w:jc w:val="both"/>
        <w:rPr>
          <w:rFonts w:eastAsiaTheme="minorEastAsia"/>
          <w:sz w:val="18"/>
          <w:szCs w:val="18"/>
        </w:rPr>
      </w:pPr>
      <w:r w:rsidRPr="1AF141DC">
        <w:rPr>
          <w:rFonts w:ascii="Arial" w:eastAsia="Arial" w:hAnsi="Arial" w:cs="Arial"/>
          <w:sz w:val="18"/>
          <w:szCs w:val="18"/>
          <w:lang w:val="de-DE"/>
        </w:rPr>
        <w:t>Zamawiający, działając zgodnie z dyspozycją przepisu art. 144 ust. 1 pkt 1 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 xml:space="preserve">zmiany lub rezygnacji z podwykonawców, na zasoby których Wykonawca powołał się na zasadach określonych w art. 22a ust. 1 ustawy – Pzp w celu spełniania warunków udziału w postępowaniu, z </w:t>
      </w:r>
      <w:r w:rsidRPr="00642873">
        <w:rPr>
          <w:rFonts w:ascii="Arial" w:eastAsia="Palatino Linotype" w:hAnsi="Arial" w:cs="Arial"/>
          <w:sz w:val="18"/>
          <w:szCs w:val="18"/>
        </w:rPr>
        <w:lastRenderedPageBreak/>
        <w:t>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67 ust. 1 pkt. 6 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w:t>
      </w:r>
      <w:r w:rsidRPr="00EA6787">
        <w:rPr>
          <w:rFonts w:ascii="Arial" w:eastAsia="Arial" w:hAnsi="Arial" w:cs="Arial"/>
          <w:sz w:val="18"/>
          <w:szCs w:val="18"/>
          <w:lang w:val="de-DE"/>
        </w:rPr>
        <w:lastRenderedPageBreak/>
        <w:t xml:space="preserve">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lastRenderedPageBreak/>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Wykonawca jest świadomy, że charakter i cel przetwarzania danych osobowych jest określony rolą podmiotu przetwarzającego – Zamawiającego, który zgodnie z definicją legalną, wynikającą z art. 2 pkt 12 ustawy Pzp jest podmiotem zobowiązanym do stosowania ustawy Pzp. Charakter przetwarzania danych osobowych wynika z obowiązku prawnego ciążącego na Zamawiającym, zgodnie z którym w przypadku, gdy Zamawiający przewiduje wymagania, o których mowa w art. 29 ust. 3a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A22C22" w:rsidRPr="00D83ED3">
        <w:rPr>
          <w:rFonts w:ascii="Arial" w:eastAsia="Calibri" w:hAnsi="Arial" w:cs="Arial"/>
          <w:b/>
          <w:iCs/>
          <w:sz w:val="18"/>
          <w:szCs w:val="18"/>
        </w:rPr>
        <w:t>5.000.000,00 zł</w:t>
      </w:r>
      <w:r w:rsidR="00A22C22" w:rsidRPr="00D83ED3">
        <w:rPr>
          <w:rFonts w:ascii="Arial" w:eastAsia="Arial" w:hAnsi="Arial" w:cs="Arial"/>
          <w:sz w:val="18"/>
          <w:szCs w:val="18"/>
        </w:rPr>
        <w:t xml:space="preserve">(słownie: pięć milionów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 xml:space="preserve">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nie niższą niż 5 000 000,00 zł </w:t>
      </w:r>
      <w:r w:rsidRPr="000E4A89">
        <w:rPr>
          <w:rFonts w:ascii="Arial" w:eastAsia="Arial" w:hAnsi="Arial" w:cs="Arial"/>
          <w:sz w:val="18"/>
          <w:szCs w:val="18"/>
          <w:lang w:val="de-DE"/>
        </w:rPr>
        <w:lastRenderedPageBreak/>
        <w:t>(poświadczonego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lastRenderedPageBreak/>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autonomiczną podstawę zmiany Umowy, zgodnie z przepisem art. 144 ust. 1 pkt 2 ustawy Pzp,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przepisem art. 144 ust. 1 pkt 2 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że spełnione zostały przesłanki, o których mowa w art. 144 ust. 1 pkt 2 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w:t>
      </w:r>
      <w:r w:rsidRPr="002E3C45">
        <w:rPr>
          <w:rFonts w:ascii="Arial" w:hAnsi="Arial" w:cs="Arial"/>
          <w:sz w:val="18"/>
          <w:szCs w:val="18"/>
        </w:rPr>
        <w:lastRenderedPageBreak/>
        <w:t xml:space="preserve">którym mowa </w:t>
      </w:r>
      <w:r w:rsidRPr="00326643">
        <w:rPr>
          <w:rFonts w:ascii="Arial" w:hAnsi="Arial" w:cs="Arial"/>
          <w:sz w:val="18"/>
          <w:szCs w:val="18"/>
        </w:rPr>
        <w:t xml:space="preserve">w </w:t>
      </w:r>
      <w:r w:rsidR="00020B6B">
        <w:rPr>
          <w:rFonts w:ascii="Arial" w:hAnsi="Arial" w:cs="Arial"/>
          <w:sz w:val="18"/>
          <w:szCs w:val="18"/>
        </w:rPr>
        <w:t>§</w:t>
      </w:r>
      <w:r w:rsidR="00F3770B" w:rsidRPr="00326643">
        <w:rPr>
          <w:rFonts w:ascii="Arial" w:hAnsi="Arial" w:cs="Arial"/>
          <w:sz w:val="18"/>
          <w:szCs w:val="18"/>
        </w:rPr>
        <w:t xml:space="preserve"> 7 </w:t>
      </w:r>
      <w:r w:rsidRPr="00326643">
        <w:rPr>
          <w:rFonts w:ascii="Arial" w:hAnsi="Arial" w:cs="Arial"/>
          <w:sz w:val="18"/>
          <w:szCs w:val="18"/>
        </w:rPr>
        <w:t xml:space="preserve">ust. </w:t>
      </w:r>
      <w:r w:rsidR="00F3770B">
        <w:rPr>
          <w:rFonts w:ascii="Arial" w:hAnsi="Arial" w:cs="Arial"/>
          <w:sz w:val="18"/>
          <w:szCs w:val="18"/>
        </w:rPr>
        <w:t>1</w:t>
      </w:r>
      <w:r w:rsidR="00882F67" w:rsidRPr="00D044AA">
        <w:rPr>
          <w:rFonts w:ascii="Arial" w:hAnsi="Arial" w:cs="Arial"/>
          <w:sz w:val="18"/>
          <w:szCs w:val="18"/>
        </w:rPr>
        <w:t>(z uwzględnieniem wartości innych zmian tzw. nieistotnych w rozumieniu art. 144 ust. 1 pkt 6 ustawy Pzp)</w:t>
      </w:r>
      <w:r w:rsidR="00D044AA">
        <w:rPr>
          <w:rFonts w:ascii="Arial" w:hAnsi="Arial" w:cs="Arial"/>
          <w:sz w:val="18"/>
          <w:szCs w:val="18"/>
        </w:rPr>
        <w:t>.</w:t>
      </w:r>
    </w:p>
    <w:p w:rsidR="0081011D"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Pr>
          <w:rFonts w:ascii="Arial" w:hAnsi="Arial" w:cs="Arial"/>
          <w:sz w:val="18"/>
          <w:szCs w:val="18"/>
        </w:rPr>
        <w:t>inspektora nadzoru</w:t>
      </w:r>
      <w:r w:rsidRPr="00307C05">
        <w:rPr>
          <w:rFonts w:ascii="Arial" w:hAnsi="Arial" w:cs="Arial"/>
          <w:sz w:val="18"/>
          <w:szCs w:val="18"/>
        </w:rPr>
        <w:t xml:space="preserve"> i zatwierdzony przez Strony Umowy. Przyjęcie robót zaniechanych przez Strony przyjmuje postać aneksu do Umowy na podstawie </w:t>
      </w:r>
      <w:r w:rsidRPr="00A4173D">
        <w:rPr>
          <w:rFonts w:ascii="Arial" w:hAnsi="Arial" w:cs="Arial"/>
          <w:sz w:val="18"/>
          <w:szCs w:val="18"/>
        </w:rPr>
        <w:t>§</w:t>
      </w:r>
      <w:r w:rsidR="00590D71" w:rsidRPr="00A4173D">
        <w:rPr>
          <w:rFonts w:ascii="Arial" w:hAnsi="Arial" w:cs="Arial"/>
          <w:sz w:val="18"/>
          <w:szCs w:val="18"/>
        </w:rPr>
        <w:t xml:space="preserve"> 14</w:t>
      </w:r>
      <w:r w:rsidRPr="00A4173D">
        <w:rPr>
          <w:rFonts w:ascii="Arial" w:hAnsi="Arial" w:cs="Arial"/>
          <w:sz w:val="18"/>
          <w:szCs w:val="18"/>
        </w:rPr>
        <w:t xml:space="preserve"> ust.</w:t>
      </w:r>
      <w:r w:rsidR="00590D71" w:rsidRPr="00A4173D">
        <w:rPr>
          <w:rFonts w:ascii="Arial" w:hAnsi="Arial" w:cs="Arial"/>
          <w:sz w:val="18"/>
          <w:szCs w:val="18"/>
        </w:rPr>
        <w:t>2</w:t>
      </w:r>
      <w:r w:rsidRPr="00A4173D">
        <w:rPr>
          <w:rFonts w:ascii="Arial" w:hAnsi="Arial" w:cs="Arial"/>
          <w:sz w:val="18"/>
          <w:szCs w:val="18"/>
        </w:rPr>
        <w:t xml:space="preserve"> pkt </w:t>
      </w:r>
      <w:r w:rsidR="00590D71" w:rsidRPr="00A4173D">
        <w:rPr>
          <w:rFonts w:ascii="Arial" w:hAnsi="Arial" w:cs="Arial"/>
          <w:sz w:val="18"/>
          <w:szCs w:val="18"/>
        </w:rPr>
        <w:t>1</w:t>
      </w:r>
      <w:r w:rsidR="007E24A6" w:rsidRPr="00A4173D">
        <w:rPr>
          <w:rFonts w:ascii="Arial" w:hAnsi="Arial" w:cs="Arial"/>
          <w:sz w:val="18"/>
          <w:szCs w:val="18"/>
        </w:rPr>
        <w:t>0</w:t>
      </w:r>
      <w:r w:rsidR="00590D71" w:rsidRPr="00A4173D">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lastRenderedPageBreak/>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766FB2">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B4" w:rsidRDefault="005B14B4">
      <w:pPr>
        <w:spacing w:after="0" w:line="240" w:lineRule="auto"/>
      </w:pPr>
      <w:r>
        <w:separator/>
      </w:r>
    </w:p>
  </w:endnote>
  <w:endnote w:type="continuationSeparator" w:id="0">
    <w:p w:rsidR="005B14B4" w:rsidRDefault="005B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355EC6" w:rsidRPr="00C82732" w:rsidTr="003469A7">
      <w:trPr>
        <w:trHeight w:val="293"/>
      </w:trPr>
      <w:tc>
        <w:tcPr>
          <w:tcW w:w="10207" w:type="dxa"/>
          <w:shd w:val="clear" w:color="auto" w:fill="auto"/>
          <w:vAlign w:val="center"/>
        </w:tcPr>
        <w:p w:rsidR="00355EC6" w:rsidRPr="00C82732" w:rsidRDefault="00355EC6"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 xml:space="preserve">Projekt współfinansowany ze środków Unii Europejskiej z Europejskiego Funduszu Rozwoju Regionalnego w ramach Regionalnego Programu Operacyjnego Województwa Kujawsko Pomorskiego na lata 2014-2020 Oś Priorytetowa </w:t>
          </w:r>
          <w:r w:rsidR="00EA4340" w:rsidRPr="00EA4340">
            <w:rPr>
              <w:rFonts w:ascii="Calibri" w:eastAsia="Courier New" w:hAnsi="Calibri" w:cs="Calibri"/>
              <w:color w:val="000000"/>
              <w:sz w:val="16"/>
              <w:szCs w:val="20"/>
              <w:lang w:eastAsia="pl-PL" w:bidi="pl-PL"/>
            </w:rPr>
            <w:t>7 Rozwój lokalny kierowany przez społeczność, Działania 7.1 Rozwój lokalny kierowany przez społeczność.</w:t>
          </w:r>
          <w:r w:rsidR="00343F15">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EA4340" w:rsidRPr="00EA4340">
                                  <w:rPr>
                                    <w:rFonts w:ascii="Arial" w:eastAsiaTheme="majorEastAsia" w:hAnsi="Arial" w:cs="Arial"/>
                                    <w:noProof/>
                                    <w:sz w:val="16"/>
                                    <w:szCs w:val="16"/>
                                  </w:rPr>
                                  <w:t>20</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EA4340" w:rsidRPr="00EA4340">
                            <w:rPr>
                              <w:rFonts w:ascii="Arial" w:eastAsiaTheme="majorEastAsia" w:hAnsi="Arial" w:cs="Arial"/>
                              <w:noProof/>
                              <w:sz w:val="16"/>
                              <w:szCs w:val="16"/>
                            </w:rPr>
                            <w:t>20</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F0368D" w:rsidRDefault="00F0368D"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B4" w:rsidRDefault="005B14B4">
      <w:pPr>
        <w:spacing w:after="0" w:line="240" w:lineRule="auto"/>
      </w:pPr>
      <w:r>
        <w:separator/>
      </w:r>
    </w:p>
  </w:footnote>
  <w:footnote w:type="continuationSeparator" w:id="0">
    <w:p w:rsidR="005B14B4" w:rsidRDefault="005B14B4">
      <w:pPr>
        <w:spacing w:after="0" w:line="240" w:lineRule="auto"/>
      </w:pPr>
      <w:r>
        <w:continuationSeparator/>
      </w:r>
    </w:p>
  </w:footnote>
  <w:footnote w:id="1">
    <w:p w:rsidR="00F0368D" w:rsidRDefault="00F0368D">
      <w:pPr>
        <w:pStyle w:val="Tekstprzypisudolnego"/>
      </w:pPr>
      <w:r>
        <w:rPr>
          <w:rStyle w:val="Odwoanieprzypisudolnego"/>
        </w:rPr>
        <w:footnoteRef/>
      </w:r>
      <w:r>
        <w:t xml:space="preserve"> Zgodnie z wyborem Wykonawcy przed zawarciem umowy.</w:t>
      </w:r>
    </w:p>
  </w:footnote>
  <w:footnote w:id="2">
    <w:p w:rsidR="00F0368D" w:rsidRPr="00670FFB" w:rsidRDefault="00F0368D">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F0368D" w:rsidRPr="00E37E45" w:rsidRDefault="00F0368D"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F0368D" w:rsidRPr="0022185A" w:rsidRDefault="00F0368D"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F0368D" w:rsidRPr="00CA0B2F" w:rsidRDefault="00F0368D"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F0368D" w:rsidRPr="00CA0B2F" w:rsidRDefault="00F0368D">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F0368D" w:rsidRPr="00D60A04" w:rsidRDefault="00F0368D">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F0368D" w:rsidRPr="00D60A04" w:rsidRDefault="00F0368D"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6"/>
        <w:szCs w:val="6"/>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F0368D" w:rsidRDefault="00EA4340"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„Zagospodarowanie przestrzeni wiejskich w Markowicach".</w:t>
    </w:r>
  </w:p>
  <w:p w:rsidR="00EA4340" w:rsidRDefault="00EA4340"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6"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0"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6"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9"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2"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6"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7"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0"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1"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3"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6"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8"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59"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69"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2"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3"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7"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8"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3"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4"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5"/>
  </w:num>
  <w:num w:numId="2">
    <w:abstractNumId w:val="50"/>
  </w:num>
  <w:num w:numId="3">
    <w:abstractNumId w:val="76"/>
  </w:num>
  <w:num w:numId="4">
    <w:abstractNumId w:val="49"/>
  </w:num>
  <w:num w:numId="5">
    <w:abstractNumId w:val="57"/>
  </w:num>
  <w:num w:numId="6">
    <w:abstractNumId w:val="46"/>
  </w:num>
  <w:num w:numId="7">
    <w:abstractNumId w:val="60"/>
  </w:num>
  <w:num w:numId="8">
    <w:abstractNumId w:val="35"/>
  </w:num>
  <w:num w:numId="9">
    <w:abstractNumId w:val="67"/>
  </w:num>
  <w:num w:numId="10">
    <w:abstractNumId w:val="25"/>
  </w:num>
  <w:num w:numId="11">
    <w:abstractNumId w:val="83"/>
  </w:num>
  <w:num w:numId="12">
    <w:abstractNumId w:val="41"/>
  </w:num>
  <w:num w:numId="13">
    <w:abstractNumId w:val="38"/>
  </w:num>
  <w:num w:numId="14">
    <w:abstractNumId w:val="82"/>
  </w:num>
  <w:num w:numId="15">
    <w:abstractNumId w:val="58"/>
  </w:num>
  <w:num w:numId="16">
    <w:abstractNumId w:val="52"/>
  </w:num>
  <w:num w:numId="17">
    <w:abstractNumId w:val="77"/>
  </w:num>
  <w:num w:numId="18">
    <w:abstractNumId w:val="16"/>
  </w:num>
  <w:num w:numId="19">
    <w:abstractNumId w:val="23"/>
  </w:num>
  <w:num w:numId="20">
    <w:abstractNumId w:val="42"/>
  </w:num>
  <w:num w:numId="21">
    <w:abstractNumId w:val="29"/>
  </w:num>
  <w:num w:numId="22">
    <w:abstractNumId w:val="45"/>
  </w:num>
  <w:num w:numId="23">
    <w:abstractNumId w:val="66"/>
  </w:num>
  <w:num w:numId="24">
    <w:abstractNumId w:val="10"/>
  </w:num>
  <w:num w:numId="25">
    <w:abstractNumId w:val="81"/>
  </w:num>
  <w:num w:numId="26">
    <w:abstractNumId w:val="36"/>
  </w:num>
  <w:num w:numId="27">
    <w:abstractNumId w:val="53"/>
  </w:num>
  <w:num w:numId="28">
    <w:abstractNumId w:val="4"/>
  </w:num>
  <w:num w:numId="29">
    <w:abstractNumId w:val="56"/>
  </w:num>
  <w:num w:numId="30">
    <w:abstractNumId w:val="8"/>
  </w:num>
  <w:num w:numId="31">
    <w:abstractNumId w:val="73"/>
  </w:num>
  <w:num w:numId="32">
    <w:abstractNumId w:val="1"/>
  </w:num>
  <w:num w:numId="33">
    <w:abstractNumId w:val="74"/>
  </w:num>
  <w:num w:numId="34">
    <w:abstractNumId w:val="37"/>
  </w:num>
  <w:num w:numId="35">
    <w:abstractNumId w:val="13"/>
  </w:num>
  <w:num w:numId="36">
    <w:abstractNumId w:val="75"/>
  </w:num>
  <w:num w:numId="37">
    <w:abstractNumId w:val="34"/>
  </w:num>
  <w:num w:numId="38">
    <w:abstractNumId w:val="48"/>
  </w:num>
  <w:num w:numId="39">
    <w:abstractNumId w:val="85"/>
  </w:num>
  <w:num w:numId="40">
    <w:abstractNumId w:val="63"/>
  </w:num>
  <w:num w:numId="41">
    <w:abstractNumId w:val="72"/>
  </w:num>
  <w:num w:numId="42">
    <w:abstractNumId w:val="0"/>
  </w:num>
  <w:num w:numId="43">
    <w:abstractNumId w:val="65"/>
  </w:num>
  <w:num w:numId="44">
    <w:abstractNumId w:val="33"/>
  </w:num>
  <w:num w:numId="45">
    <w:abstractNumId w:val="40"/>
  </w:num>
  <w:num w:numId="46">
    <w:abstractNumId w:val="18"/>
  </w:num>
  <w:num w:numId="47">
    <w:abstractNumId w:val="44"/>
  </w:num>
  <w:num w:numId="48">
    <w:abstractNumId w:val="27"/>
  </w:num>
  <w:num w:numId="49">
    <w:abstractNumId w:val="54"/>
  </w:num>
  <w:num w:numId="50">
    <w:abstractNumId w:val="24"/>
  </w:num>
  <w:num w:numId="51">
    <w:abstractNumId w:val="26"/>
  </w:num>
  <w:num w:numId="52">
    <w:abstractNumId w:val="71"/>
  </w:num>
  <w:num w:numId="53">
    <w:abstractNumId w:val="70"/>
  </w:num>
  <w:num w:numId="54">
    <w:abstractNumId w:val="59"/>
  </w:num>
  <w:num w:numId="55">
    <w:abstractNumId w:val="68"/>
  </w:num>
  <w:num w:numId="56">
    <w:abstractNumId w:val="80"/>
  </w:num>
  <w:num w:numId="57">
    <w:abstractNumId w:val="21"/>
  </w:num>
  <w:num w:numId="58">
    <w:abstractNumId w:val="31"/>
  </w:num>
  <w:num w:numId="59">
    <w:abstractNumId w:val="47"/>
  </w:num>
  <w:num w:numId="60">
    <w:abstractNumId w:val="2"/>
  </w:num>
  <w:num w:numId="61">
    <w:abstractNumId w:val="30"/>
  </w:num>
  <w:num w:numId="62">
    <w:abstractNumId w:val="22"/>
  </w:num>
  <w:num w:numId="63">
    <w:abstractNumId w:val="7"/>
  </w:num>
  <w:num w:numId="64">
    <w:abstractNumId w:val="51"/>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2"/>
  </w:num>
  <w:num w:numId="68">
    <w:abstractNumId w:val="43"/>
  </w:num>
  <w:num w:numId="69">
    <w:abstractNumId w:val="69"/>
  </w:num>
  <w:num w:numId="70">
    <w:abstractNumId w:val="32"/>
  </w:num>
  <w:num w:numId="71">
    <w:abstractNumId w:val="19"/>
  </w:num>
  <w:num w:numId="72">
    <w:abstractNumId w:val="28"/>
  </w:num>
  <w:num w:numId="73">
    <w:abstractNumId w:val="5"/>
  </w:num>
  <w:num w:numId="74">
    <w:abstractNumId w:val="61"/>
  </w:num>
  <w:num w:numId="75">
    <w:abstractNumId w:val="17"/>
  </w:num>
  <w:num w:numId="76">
    <w:abstractNumId w:val="79"/>
  </w:num>
  <w:num w:numId="77">
    <w:abstractNumId w:val="20"/>
  </w:num>
  <w:num w:numId="78">
    <w:abstractNumId w:val="84"/>
  </w:num>
  <w:num w:numId="79">
    <w:abstractNumId w:val="11"/>
  </w:num>
  <w:num w:numId="80">
    <w:abstractNumId w:val="15"/>
  </w:num>
  <w:num w:numId="81">
    <w:abstractNumId w:val="14"/>
  </w:num>
  <w:num w:numId="82">
    <w:abstractNumId w:val="9"/>
  </w:num>
  <w:num w:numId="83">
    <w:abstractNumId w:val="39"/>
  </w:num>
  <w:num w:numId="84">
    <w:abstractNumId w:val="12"/>
  </w:num>
  <w:num w:numId="85">
    <w:abstractNumId w:val="78"/>
  </w:num>
  <w:num w:numId="86">
    <w:abstractNumId w:val="64"/>
  </w:num>
  <w:num w:numId="8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6174"/>
    <w:rsid w:val="003E47F7"/>
    <w:rsid w:val="003F08AD"/>
    <w:rsid w:val="003F7998"/>
    <w:rsid w:val="00403B38"/>
    <w:rsid w:val="0041143D"/>
    <w:rsid w:val="00417392"/>
    <w:rsid w:val="004361CB"/>
    <w:rsid w:val="00436ECF"/>
    <w:rsid w:val="004373C4"/>
    <w:rsid w:val="00442B00"/>
    <w:rsid w:val="0046145A"/>
    <w:rsid w:val="004700D5"/>
    <w:rsid w:val="00470508"/>
    <w:rsid w:val="00470AB6"/>
    <w:rsid w:val="004736BD"/>
    <w:rsid w:val="00481832"/>
    <w:rsid w:val="00483ED2"/>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E24A6"/>
    <w:rsid w:val="007F103E"/>
    <w:rsid w:val="00807B7D"/>
    <w:rsid w:val="0081011D"/>
    <w:rsid w:val="0081139D"/>
    <w:rsid w:val="008351FB"/>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40D5"/>
    <w:rsid w:val="00CE7F77"/>
    <w:rsid w:val="00D044AA"/>
    <w:rsid w:val="00D35CF1"/>
    <w:rsid w:val="00D47DF8"/>
    <w:rsid w:val="00D50A63"/>
    <w:rsid w:val="00D511C5"/>
    <w:rsid w:val="00D60A04"/>
    <w:rsid w:val="00D62149"/>
    <w:rsid w:val="00D71FB9"/>
    <w:rsid w:val="00D839D2"/>
    <w:rsid w:val="00D83ED3"/>
    <w:rsid w:val="00DA16EF"/>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F385-F329-4FF2-87B5-15D939C5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16955</Words>
  <Characters>101732</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7</cp:revision>
  <cp:lastPrinted>2020-04-24T07:54:00Z</cp:lastPrinted>
  <dcterms:created xsi:type="dcterms:W3CDTF">2020-12-04T11:50:00Z</dcterms:created>
  <dcterms:modified xsi:type="dcterms:W3CDTF">2020-12-09T14:47:00Z</dcterms:modified>
</cp:coreProperties>
</file>