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5E77F" w14:textId="28732A47" w:rsidR="00601197" w:rsidRDefault="00E54D2F" w:rsidP="000E3566">
      <w:pPr>
        <w:tabs>
          <w:tab w:val="center" w:pos="2342"/>
          <w:tab w:val="center" w:pos="6794"/>
        </w:tabs>
        <w:spacing w:after="1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ab/>
      </w:r>
      <w:r w:rsidR="00601197">
        <w:t xml:space="preserve"> </w:t>
      </w:r>
    </w:p>
    <w:p w14:paraId="0A55E780" w14:textId="77777777" w:rsidR="00BF4A2C" w:rsidRDefault="00601197" w:rsidP="00601197">
      <w:pPr>
        <w:tabs>
          <w:tab w:val="center" w:pos="2342"/>
          <w:tab w:val="center" w:pos="6794"/>
        </w:tabs>
        <w:spacing w:after="119" w:line="259" w:lineRule="auto"/>
        <w:ind w:left="0" w:firstLine="0"/>
        <w:jc w:val="left"/>
      </w:pPr>
      <w:r>
        <w:t>Oznaczenie</w:t>
      </w:r>
      <w:r>
        <w:rPr>
          <w:b/>
        </w:rPr>
        <w:t xml:space="preserve">  sprawy: </w:t>
      </w:r>
      <w:r w:rsidR="000E3566">
        <w:rPr>
          <w:b/>
        </w:rPr>
        <w:t>RPGND.P2.271.1.2024</w:t>
      </w:r>
    </w:p>
    <w:p w14:paraId="0A55E781" w14:textId="77777777" w:rsidR="00BF4A2C" w:rsidRDefault="00E54D2F">
      <w:pPr>
        <w:spacing w:after="0"/>
        <w:ind w:left="5819" w:right="39" w:firstLine="173"/>
      </w:pPr>
      <w:r>
        <w:t xml:space="preserve">Załącznik Nr 1 do Zapytania ofertowego -  </w:t>
      </w:r>
      <w:r>
        <w:rPr>
          <w:b/>
        </w:rPr>
        <w:t xml:space="preserve">Szczegółowy opis przedmiotu zamówienia </w:t>
      </w:r>
    </w:p>
    <w:p w14:paraId="0A55E782" w14:textId="77777777" w:rsidR="00BF4A2C" w:rsidRDefault="00E54D2F">
      <w:pPr>
        <w:spacing w:after="98" w:line="259" w:lineRule="auto"/>
        <w:ind w:left="0" w:firstLine="0"/>
        <w:jc w:val="right"/>
      </w:pPr>
      <w:r>
        <w:rPr>
          <w:i/>
        </w:rPr>
        <w:t xml:space="preserve"> </w:t>
      </w:r>
    </w:p>
    <w:p w14:paraId="0A55E783" w14:textId="77777777" w:rsidR="00BF4A2C" w:rsidRPr="00E62783" w:rsidRDefault="00E54D2F" w:rsidP="00E62783">
      <w:pPr>
        <w:pStyle w:val="Nagwek1"/>
        <w:spacing w:after="146" w:line="360" w:lineRule="auto"/>
        <w:ind w:left="0" w:firstLine="0"/>
        <w:jc w:val="both"/>
        <w:rPr>
          <w:rFonts w:ascii="Times New Roman" w:hAnsi="Times New Roman" w:cs="Times New Roman"/>
        </w:rPr>
      </w:pPr>
      <w:r w:rsidRPr="00E62783">
        <w:rPr>
          <w:rFonts w:ascii="Times New Roman" w:hAnsi="Times New Roman" w:cs="Times New Roman"/>
          <w:shd w:val="clear" w:color="auto" w:fill="C0C0C0"/>
        </w:rPr>
        <w:t>1. Przedmiot zamówienia</w:t>
      </w:r>
      <w:r w:rsidRPr="00E62783">
        <w:rPr>
          <w:rFonts w:ascii="Times New Roman" w:hAnsi="Times New Roman" w:cs="Times New Roman"/>
        </w:rPr>
        <w:t xml:space="preserve"> </w:t>
      </w:r>
    </w:p>
    <w:p w14:paraId="0A55E784" w14:textId="77777777" w:rsidR="00BF4A2C" w:rsidRPr="00E62783" w:rsidRDefault="00E54D2F" w:rsidP="00E62783">
      <w:pPr>
        <w:spacing w:after="0" w:line="360" w:lineRule="auto"/>
        <w:ind w:left="10" w:right="39"/>
        <w:rPr>
          <w:rFonts w:ascii="Times New Roman" w:hAnsi="Times New Roman" w:cs="Times New Roman"/>
        </w:rPr>
      </w:pPr>
      <w:r w:rsidRPr="00E62783">
        <w:rPr>
          <w:rFonts w:ascii="Times New Roman" w:hAnsi="Times New Roman" w:cs="Times New Roman"/>
        </w:rPr>
        <w:t>Przedmiotem zamówienia jest modernizacja oświetlenia ulicznego</w:t>
      </w:r>
      <w:r w:rsidRPr="00E62783">
        <w:rPr>
          <w:rFonts w:ascii="Times New Roman" w:eastAsia="Times New Roman" w:hAnsi="Times New Roman" w:cs="Times New Roman"/>
          <w:sz w:val="24"/>
        </w:rPr>
        <w:t xml:space="preserve"> </w:t>
      </w:r>
      <w:r w:rsidRPr="00E62783">
        <w:rPr>
          <w:rFonts w:ascii="Times New Roman" w:hAnsi="Times New Roman" w:cs="Times New Roman"/>
        </w:rPr>
        <w:t xml:space="preserve">i drogowego </w:t>
      </w:r>
      <w:r w:rsidR="000E3566" w:rsidRPr="00E62783">
        <w:rPr>
          <w:rFonts w:ascii="Times New Roman" w:hAnsi="Times New Roman" w:cs="Times New Roman"/>
        </w:rPr>
        <w:t>na terenie Gminy Orchowo</w:t>
      </w:r>
      <w:r w:rsidRPr="00E62783">
        <w:rPr>
          <w:rFonts w:ascii="Times New Roman" w:hAnsi="Times New Roman" w:cs="Times New Roman"/>
        </w:rPr>
        <w:t xml:space="preserve"> polegająca na wymianie istniejących opraw oświetleniowych na oprawy oświetleniowe ze źródłem światła LED w </w:t>
      </w:r>
      <w:r w:rsidR="000E3566" w:rsidRPr="00E62783">
        <w:rPr>
          <w:rFonts w:ascii="Times New Roman" w:hAnsi="Times New Roman" w:cs="Times New Roman"/>
        </w:rPr>
        <w:t>gm. Orchowo</w:t>
      </w:r>
      <w:r w:rsidRPr="00E62783">
        <w:rPr>
          <w:rFonts w:ascii="Times New Roman" w:hAnsi="Times New Roman" w:cs="Times New Roman"/>
        </w:rPr>
        <w:t xml:space="preserve">, przy użyciu sprzętu Wykonawcy Robót. </w:t>
      </w:r>
    </w:p>
    <w:p w14:paraId="5A9B9246" w14:textId="77777777" w:rsidR="00CB4ACD" w:rsidRPr="00E62783" w:rsidRDefault="00CB4ACD" w:rsidP="00E62783">
      <w:pPr>
        <w:spacing w:after="0" w:line="360" w:lineRule="auto"/>
        <w:ind w:left="10" w:right="39"/>
        <w:rPr>
          <w:rFonts w:ascii="Times New Roman" w:hAnsi="Times New Roman" w:cs="Times New Roman"/>
        </w:rPr>
      </w:pPr>
    </w:p>
    <w:p w14:paraId="3AF2C1E8" w14:textId="77777777" w:rsidR="00CB4ACD" w:rsidRPr="00E62783" w:rsidRDefault="00CB4ACD" w:rsidP="00E62783">
      <w:pPr>
        <w:keepNext/>
        <w:numPr>
          <w:ilvl w:val="0"/>
          <w:numId w:val="9"/>
        </w:numPr>
        <w:suppressAutoHyphens/>
        <w:spacing w:after="0" w:line="36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E62783">
        <w:rPr>
          <w:rFonts w:ascii="Times New Roman" w:eastAsia="Times New Roman" w:hAnsi="Times New Roman" w:cs="Times New Roman"/>
          <w:b/>
          <w:color w:val="auto"/>
          <w:lang w:eastAsia="zh-CN"/>
        </w:rPr>
        <w:t>Wymagania dotyczące parametrów ulicznych opraw oświetleniowych.</w:t>
      </w:r>
    </w:p>
    <w:p w14:paraId="0E05A35F" w14:textId="77777777" w:rsidR="00CB4ACD" w:rsidRPr="00E62783" w:rsidRDefault="00CB4ACD" w:rsidP="00E62783">
      <w:pPr>
        <w:keepNext/>
        <w:suppressAutoHyphens/>
        <w:spacing w:after="0" w:line="360" w:lineRule="auto"/>
        <w:ind w:left="567" w:firstLine="0"/>
        <w:contextualSpacing/>
        <w:outlineLvl w:val="1"/>
        <w:rPr>
          <w:rFonts w:ascii="Times New Roman" w:eastAsia="Times New Roman" w:hAnsi="Times New Roman" w:cs="Times New Roman"/>
          <w:b/>
          <w:color w:val="auto"/>
          <w:lang w:eastAsia="zh-CN"/>
        </w:rPr>
      </w:pPr>
    </w:p>
    <w:p w14:paraId="09592EEF" w14:textId="6F4F27A4" w:rsidR="00CB4ACD" w:rsidRPr="00E62783" w:rsidRDefault="00CB4ACD" w:rsidP="00E62783">
      <w:p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lang w:eastAsia="zh-CN"/>
        </w:rPr>
      </w:pPr>
      <w:r w:rsidRPr="00E62783">
        <w:rPr>
          <w:rFonts w:ascii="Times New Roman" w:eastAsia="Times New Roman" w:hAnsi="Times New Roman" w:cs="Times New Roman"/>
          <w:color w:val="auto"/>
          <w:lang w:eastAsia="zh-CN"/>
        </w:rPr>
        <w:t xml:space="preserve">Nowe oprawy oświetleniowe LED należy dobrać dla danych sytuacji oświetleniowych, przyjmując parametry drogowe oraz klasę oświetleniową zgodną z załączonymi obliczeniami oświetleniowymi </w:t>
      </w:r>
    </w:p>
    <w:p w14:paraId="3D6A3BE0" w14:textId="77777777" w:rsidR="00CB4ACD" w:rsidRPr="00E62783" w:rsidRDefault="00CB4ACD" w:rsidP="00E62783">
      <w:p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lang w:eastAsia="zh-CN"/>
        </w:rPr>
      </w:pPr>
      <w:r w:rsidRPr="00E62783">
        <w:rPr>
          <w:rFonts w:ascii="Times New Roman" w:eastAsia="Times New Roman" w:hAnsi="Times New Roman" w:cs="Times New Roman"/>
          <w:color w:val="auto"/>
          <w:lang w:eastAsia="zh-CN"/>
        </w:rPr>
        <w:t>Nowe oprawy oświetleniowe typu LED muszą charakteryzować się następującymi parametrami:</w:t>
      </w:r>
    </w:p>
    <w:p w14:paraId="2F87CAEE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contextualSpacing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  <w:lang w:eastAsia="zh-CN"/>
        </w:rPr>
        <w:t>obudowa opraw w kolorze szarym,</w:t>
      </w:r>
    </w:p>
    <w:p w14:paraId="0780DC0A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nominalna moc opraw w poszczególnych sytuacjach oświetleniowych nie może przekraczać mocy z obliczeń fotometrycznych w danej sytuacji oświetleniowej,</w:t>
      </w:r>
    </w:p>
    <w:p w14:paraId="75861B5C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bookmarkStart w:id="0" w:name="_Hlk138420471"/>
      <w:r w:rsidRPr="00E62783">
        <w:rPr>
          <w:rFonts w:ascii="Times New Roman" w:eastAsia="Times New Roman" w:hAnsi="Times New Roman" w:cs="Times New Roman"/>
          <w:color w:val="auto"/>
        </w:rPr>
        <w:t>oprawy muszą posiadać II klasę ochrony przeciwporażeniowej,</w:t>
      </w:r>
    </w:p>
    <w:bookmarkEnd w:id="0"/>
    <w:p w14:paraId="34D48D50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obudowy opraw muszą posiadać korpus dwukomorowy, z ciśnieniowo odlewanego aluminium zabezpieczonego farbą proszkową stanowiącym jednocześnie radiator rozpraszający ciepło emitowane przez diody LED, którego konstrukcja umożliwi swobodne odprowadzanie wody i brudu osadzającego się na oprawie - dopuszcza się tylko rozwiązania z chłodzeniem pasywnym, nie dopuszcza się stosowania radiatora w postaci użebrowania</w:t>
      </w:r>
    </w:p>
    <w:p w14:paraId="593DF753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muszą posiadać stopień ochrony przed wnikaniem pyłu i wody nie mniejszy niż IP66 potwierdzone zapisami w certyfikacie ENEC, </w:t>
      </w:r>
    </w:p>
    <w:p w14:paraId="39460D02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klosze opraw muszą być wykonane z hartowanego szkła,</w:t>
      </w:r>
    </w:p>
    <w:p w14:paraId="4F6DE81B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odporność opraw na udary musi być na poziomie nie mniejszym niż IK09, potwierdzona zapisami w certyfikacie ENEC,</w:t>
      </w:r>
    </w:p>
    <w:p w14:paraId="466E409B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oprawa musi umożliwiać jej montaż na słupie lub wysięgniku oraz regulację pochylenia oprawy w zakresie nie mniejszym niż od -15° do +15°, bez dodatkowych elementów pośredniczących,</w:t>
      </w:r>
    </w:p>
    <w:p w14:paraId="0EB14A43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wyposażone w panel LED złożony z diod muszą emitować światło o nominalnej temperaturze barwowej </w:t>
      </w:r>
      <w:bookmarkStart w:id="1" w:name="_Hlk149214925"/>
      <w:r w:rsidRPr="00E62783">
        <w:rPr>
          <w:rFonts w:ascii="Times New Roman" w:eastAsia="Times New Roman" w:hAnsi="Times New Roman" w:cs="Times New Roman"/>
          <w:color w:val="auto"/>
        </w:rPr>
        <w:t xml:space="preserve">zgodnej z sytuacjami oświetleniowymi </w:t>
      </w:r>
      <w:bookmarkEnd w:id="1"/>
      <w:r w:rsidRPr="00E62783">
        <w:rPr>
          <w:rFonts w:ascii="Times New Roman" w:eastAsia="Times New Roman" w:hAnsi="Times New Roman" w:cs="Times New Roman"/>
          <w:color w:val="auto"/>
        </w:rPr>
        <w:t>+/-250K oraz wskaźniku oddawania barw Ra nie mniejszym niż 70,</w:t>
      </w:r>
    </w:p>
    <w:p w14:paraId="427A988C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muszą posiadać trwałość użytkową nie mniejszą niż 100 000 godzin pracy, przy zachowaniu strumienia świetlnego na poziomie nie mniejszym niż 90% strumienia nominalnego - L90, </w:t>
      </w:r>
    </w:p>
    <w:p w14:paraId="743B1324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lastRenderedPageBreak/>
        <w:t>oprawy muszą być wyposażone w grupę soczewek kształtujących rozsył światła, w którym każda dioda na panelu LED posiada indywidualny element optyczny o takiej samej charakterystyce, w celu wyeliminowania możliwości zmiany rozsyłu światła w przypadku przepalenia się którejkolwiek z diod; w takiej sytuacji zmianie może ulec jedynie strumień świetlny emitowany przez oprawę, a nie jej rozsył światła (warunek zachowanie równomierności oświetlenia na całej powierzchni oświetlanej),</w:t>
      </w:r>
    </w:p>
    <w:p w14:paraId="195A3594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muszą być wyposażone w programowane zasilacze, wyposażone w interfejs D4i umożliwiające płynną regulację mocy opraw w zakresie od 20% do 100% mocy nominalnej z dokładnością do 1% oraz pozwalające na zaprogramowanie minimum 5 poziomów mocy opraw w pracy autonomicznej w dowolnych przedziałach czasowych z dokładnością do 1 minuty, </w:t>
      </w:r>
    </w:p>
    <w:p w14:paraId="34C63F04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w zakresie regulacji mocy opraw od 50% do 100% ich mocy nominalnej, cos </w:t>
      </w:r>
      <w:r w:rsidRPr="00E62783">
        <w:rPr>
          <w:rFonts w:ascii="Times New Roman" w:eastAsia="Times New Roman" w:hAnsi="Times New Roman" w:cs="Times New Roman"/>
          <w:i/>
          <w:iCs/>
          <w:color w:val="auto"/>
        </w:rPr>
        <w:t>φ</w:t>
      </w:r>
      <w:r w:rsidRPr="00E62783">
        <w:rPr>
          <w:rFonts w:ascii="Times New Roman" w:eastAsia="Times New Roman" w:hAnsi="Times New Roman" w:cs="Times New Roman"/>
          <w:color w:val="auto"/>
        </w:rPr>
        <w:t xml:space="preserve"> dla oprawy z modułem komunikacyjnym nie może być mniejszy niż 0,90 a współczynnik zawartości harmonicznych THD musi być mniejszy niż 25%,</w:t>
      </w:r>
    </w:p>
    <w:p w14:paraId="346C4489" w14:textId="454D8DEE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muszą posiadać </w:t>
      </w:r>
      <w:r w:rsidRPr="00CE2BBA">
        <w:rPr>
          <w:rFonts w:ascii="Times New Roman" w:eastAsia="Times New Roman" w:hAnsi="Times New Roman" w:cs="Times New Roman"/>
          <w:strike/>
          <w:color w:val="auto"/>
        </w:rPr>
        <w:t>dwa</w:t>
      </w:r>
      <w:r w:rsidR="00CE2BBA">
        <w:rPr>
          <w:rFonts w:ascii="Times New Roman" w:eastAsia="Times New Roman" w:hAnsi="Times New Roman" w:cs="Times New Roman"/>
          <w:strike/>
          <w:color w:val="auto"/>
        </w:rPr>
        <w:t xml:space="preserve"> </w:t>
      </w:r>
      <w:r w:rsidRPr="00E62783">
        <w:rPr>
          <w:rFonts w:ascii="Times New Roman" w:eastAsia="Times New Roman" w:hAnsi="Times New Roman" w:cs="Times New Roman"/>
          <w:color w:val="auto"/>
        </w:rPr>
        <w:t xml:space="preserve"> </w:t>
      </w:r>
      <w:r w:rsidRPr="00CE2BBA">
        <w:rPr>
          <w:rFonts w:ascii="Times New Roman" w:eastAsia="Times New Roman" w:hAnsi="Times New Roman" w:cs="Times New Roman"/>
          <w:strike/>
          <w:color w:val="auto"/>
        </w:rPr>
        <w:t>gniazda</w:t>
      </w:r>
      <w:r w:rsidRPr="00E62783">
        <w:rPr>
          <w:rFonts w:ascii="Times New Roman" w:eastAsia="Times New Roman" w:hAnsi="Times New Roman" w:cs="Times New Roman"/>
          <w:color w:val="auto"/>
        </w:rPr>
        <w:t xml:space="preserve"> </w:t>
      </w:r>
      <w:r w:rsidR="00CE2BBA">
        <w:rPr>
          <w:rFonts w:ascii="Times New Roman" w:eastAsia="Times New Roman" w:hAnsi="Times New Roman" w:cs="Times New Roman"/>
          <w:color w:val="FF0000"/>
        </w:rPr>
        <w:t xml:space="preserve">jedno gniazdo </w:t>
      </w:r>
      <w:bookmarkStart w:id="2" w:name="_GoBack"/>
      <w:r w:rsidRPr="00E62783">
        <w:rPr>
          <w:rFonts w:ascii="Times New Roman" w:eastAsia="Times New Roman" w:hAnsi="Times New Roman" w:cs="Times New Roman"/>
          <w:color w:val="auto"/>
        </w:rPr>
        <w:t>Zhaga Book18</w:t>
      </w:r>
      <w:bookmarkEnd w:id="2"/>
      <w:r w:rsidRPr="00E62783">
        <w:rPr>
          <w:rFonts w:ascii="Times New Roman" w:eastAsia="Times New Roman" w:hAnsi="Times New Roman" w:cs="Times New Roman"/>
          <w:color w:val="auto"/>
        </w:rPr>
        <w:t>,</w:t>
      </w:r>
    </w:p>
    <w:p w14:paraId="388E0B92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oprawy z gniazdami Zhaga Book18 muszą posiadać certyfikat </w:t>
      </w:r>
      <w:r w:rsidRPr="00E62783">
        <w:rPr>
          <w:rFonts w:ascii="Times New Roman" w:eastAsia="Times New Roman" w:hAnsi="Times New Roman" w:cs="Times New Roman"/>
          <w:color w:val="auto"/>
          <w:lang w:eastAsia="zh-CN"/>
        </w:rPr>
        <w:t>ZD4i wydany przez konsorcjum Zhaga,</w:t>
      </w:r>
    </w:p>
    <w:p w14:paraId="3C5EA4AD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zasilacze zainstalowane w oprawach muszą umożliwiać odczyt czasu pracy danej oprawy oraz jej zużycie energii elektrycznej,</w:t>
      </w:r>
    </w:p>
    <w:p w14:paraId="15E04303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oprawy muszą być przystosowane do współpracy ze sterownikami umożliwiającymi obustronną komunikację z systemem sterowania oświetleniem,</w:t>
      </w:r>
    </w:p>
    <w:p w14:paraId="57778C7A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dostęp do komory elektrycznej oprawy musi być możliwy bez użycia narzędzi, nie dopuszcza się stosowania śrub z nakrętkami motylkowymi itp. wszelkie elementy służące do zamykania opraw winny być wykonane ze stali nierdzewnej lub materiału z którego wykonany jest korpus oprawy – aluminiowy odlew ciśnieniowy,</w:t>
      </w:r>
    </w:p>
    <w:p w14:paraId="2054FB9D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zamawiający dopuszcza oprawy w których do zamknięcia/otwarcia komory elektrycznej używa się śrub ze stali nierdzewnej zlokalizowanych wyłącznie od dołu oprawy tak aby uniemożliwić gromadzenie się wody lub zanieczyszczeń,</w:t>
      </w:r>
    </w:p>
    <w:p w14:paraId="774580F6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 xml:space="preserve">zakres temperatury otoczenia pracy oprawy nie może być mniejszy niż od -30°C do +35°C, </w:t>
      </w:r>
    </w:p>
    <w:p w14:paraId="40714FC8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oprawy muszą posiadać automatyczne monitorowanie temperatury, aby zapobiec przegrzaniu modułu LED,</w:t>
      </w:r>
    </w:p>
    <w:p w14:paraId="560E9395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panele LED opraw muszą być wyposażone w kostki przyłączeniowe, które w razie awarii muszą umożliwiać ich szybką wymianę,</w:t>
      </w:r>
    </w:p>
    <w:p w14:paraId="08409280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wszystkie elementy oprawy w tym: zasilacze, moduły zabezpieczeń przeciwprzepięciowych, elementy pozwalające na komunikację oprawy z systemem zarządzania muszą być zintegrowane z oprawą,</w:t>
      </w:r>
    </w:p>
    <w:p w14:paraId="3040E409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  <w:lang w:eastAsia="zh-CN"/>
        </w:rPr>
        <w:t>ochrona przed przepięciami musi być na poziomie minimum 6kV,</w:t>
      </w:r>
    </w:p>
    <w:p w14:paraId="4478F533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oprawy muszą posiadać certyfikat CE,</w:t>
      </w:r>
    </w:p>
    <w:p w14:paraId="6F638DC0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oprawy muszą posiadać certyfikat ROHs,</w:t>
      </w:r>
    </w:p>
    <w:p w14:paraId="5941F1FD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strike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oprawy muszą zostać wyprodukowane na terenie UE i posiadać certyfikat ENEC oraz ENEC+</w:t>
      </w:r>
      <w:bookmarkStart w:id="3" w:name="_Hlk149213618"/>
      <w:r w:rsidRPr="00E62783">
        <w:rPr>
          <w:rFonts w:ascii="Times New Roman" w:eastAsia="Times New Roman" w:hAnsi="Times New Roman" w:cs="Times New Roman"/>
          <w:color w:val="auto"/>
        </w:rPr>
        <w:t>,</w:t>
      </w:r>
    </w:p>
    <w:p w14:paraId="51ED5ED6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lastRenderedPageBreak/>
        <w:t xml:space="preserve">producent opraw musi posiadać wdrożony system zarządzania w standardzie ISO 9001, ISO 14001, ISO 45001 oraz ISO 50001, </w:t>
      </w:r>
    </w:p>
    <w:bookmarkEnd w:id="3"/>
    <w:p w14:paraId="1A5C0F1C" w14:textId="77777777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wszystkie oprawy uliczne montowane w ramach danej części zamówienia muszą pochodzić od jednego producenta z jednej rodziny/serii opraw, tzn. muszą być tego samego typu, dopuszcza się zróżnicowanie wielkości opraw wynikającą z ich różnej mocy,</w:t>
      </w:r>
    </w:p>
    <w:p w14:paraId="58BC7711" w14:textId="255047C9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oferowane oprawy po podłączeniu do zasilania muszą automatycznie implementować (logować) się w trybie online w jednym z istniejących systemów zarządzania oświe</w:t>
      </w:r>
      <w:r w:rsidR="002E4AB6">
        <w:rPr>
          <w:rFonts w:ascii="Times New Roman" w:eastAsia="Times New Roman" w:hAnsi="Times New Roman" w:cs="Times New Roman"/>
          <w:color w:val="auto"/>
        </w:rPr>
        <w:t>tleniem,</w:t>
      </w:r>
      <w:r w:rsidRPr="00E62783">
        <w:rPr>
          <w:rFonts w:ascii="Times New Roman" w:eastAsia="Times New Roman" w:hAnsi="Times New Roman" w:cs="Times New Roman"/>
          <w:color w:val="auto"/>
        </w:rPr>
        <w:t xml:space="preserve"> tj. Exedra lub Interact lub Urban bez dodatkowych opłat w okresie 10 lat,</w:t>
      </w:r>
    </w:p>
    <w:p w14:paraId="5130B578" w14:textId="25BA2E43" w:rsidR="00CB4ACD" w:rsidRPr="00E62783" w:rsidRDefault="00CB4ACD" w:rsidP="00E6278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auto"/>
        </w:rPr>
      </w:pPr>
      <w:r w:rsidRPr="00E62783">
        <w:rPr>
          <w:rFonts w:ascii="Times New Roman" w:eastAsia="Times New Roman" w:hAnsi="Times New Roman" w:cs="Times New Roman"/>
          <w:color w:val="auto"/>
        </w:rPr>
        <w:t>parametry techniczne poszczególnych opraw w tym: moc opraw, strumień świetlny, typy opraw, rodzaj optyki winny automatycznie zaimportować się do jednego z istniejących systemów określonych w pkt. 30</w:t>
      </w:r>
    </w:p>
    <w:p w14:paraId="54AEA4D1" w14:textId="77777777" w:rsidR="00CB4ACD" w:rsidRPr="00E62783" w:rsidRDefault="00CB4ACD" w:rsidP="00E62783">
      <w:p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eastAsia="Times New Roman" w:hAnsi="Times New Roman" w:cs="Times New Roman"/>
          <w:color w:val="auto"/>
        </w:rPr>
      </w:pPr>
    </w:p>
    <w:p w14:paraId="4AF5D92A" w14:textId="77777777" w:rsidR="00CB4ACD" w:rsidRPr="00576713" w:rsidRDefault="00CB4ACD" w:rsidP="00E62783">
      <w:pPr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  <w:r w:rsidRPr="00576713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Przedstawiciel Zamawiającego będzie miał prawo przed przystąpieniem do montażu opraw oraz w dowolnym momencie realizacji przedmiotu umowy, do żądania przekazania przez Wykonawcę wybranych opraw w celu ich przebadania i potwierdzenia zgodności parametrów montowanych opraw z wymaganiami oraz deklaracjami producenta.</w:t>
      </w:r>
    </w:p>
    <w:p w14:paraId="54990808" w14:textId="77777777" w:rsidR="00CB4ACD" w:rsidRPr="00576713" w:rsidRDefault="00CB4ACD" w:rsidP="00E62783">
      <w:pPr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  <w:r w:rsidRPr="00576713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Po zamontowaniu opraw na żądanie Zamawiającego, Wykonawca zobowiązany jest do wykonania przy jego współudziale, w terminie z nim uzgodnionym, pomiarów prądów obciążenia poszczególnych obwodów oświetleniowych w układach zasilania objętych przedmiotem umowy.</w:t>
      </w:r>
    </w:p>
    <w:p w14:paraId="0DD60AB4" w14:textId="77777777" w:rsidR="00CB4ACD" w:rsidRPr="00576713" w:rsidRDefault="00CB4ACD" w:rsidP="00E62783">
      <w:pPr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9CC2E5" w:themeColor="accent1" w:themeTint="99"/>
          <w:lang w:eastAsia="zh-CN"/>
        </w:rPr>
      </w:pPr>
    </w:p>
    <w:p w14:paraId="67654F2A" w14:textId="77777777" w:rsidR="00CB4ACD" w:rsidRPr="00576713" w:rsidRDefault="00CB4ACD" w:rsidP="00E62783">
      <w:pPr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trike/>
          <w:color w:val="auto"/>
          <w:lang w:eastAsia="zh-CN"/>
        </w:rPr>
      </w:pPr>
      <w:r w:rsidRPr="00576713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Parametry elektryczne i fotometryczne opraw mogą być weryfikowane przez Zamawiającego w okresie minimum 5 lat od dnia dokonania odbioru technicznego wykonanych robót.</w:t>
      </w:r>
    </w:p>
    <w:p w14:paraId="349AEBCE" w14:textId="77777777" w:rsidR="00CB4ACD" w:rsidRPr="00576713" w:rsidRDefault="00CB4ACD" w:rsidP="00E62783">
      <w:pPr>
        <w:keepNext/>
        <w:keepLines/>
        <w:suppressAutoHyphens/>
        <w:spacing w:after="0" w:line="360" w:lineRule="auto"/>
        <w:ind w:left="0" w:firstLine="0"/>
        <w:outlineLvl w:val="2"/>
        <w:rPr>
          <w:rFonts w:ascii="Times New Roman" w:eastAsiaTheme="majorEastAsia" w:hAnsi="Times New Roman" w:cs="Times New Roman"/>
          <w:b/>
          <w:bCs/>
          <w:color w:val="9CC2E5" w:themeColor="accent1" w:themeTint="99"/>
          <w:lang w:eastAsia="zh-CN"/>
        </w:rPr>
      </w:pPr>
      <w:bookmarkStart w:id="4" w:name="_Toc398753319"/>
      <w:bookmarkStart w:id="5" w:name="_Toc450821441"/>
    </w:p>
    <w:bookmarkEnd w:id="4"/>
    <w:bookmarkEnd w:id="5"/>
    <w:p w14:paraId="365506BE" w14:textId="77777777" w:rsidR="00CB4ACD" w:rsidRPr="00576713" w:rsidRDefault="00CB4ACD" w:rsidP="00E62783">
      <w:pPr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9CC2E5" w:themeColor="accent1" w:themeTint="99"/>
        </w:rPr>
      </w:pPr>
    </w:p>
    <w:p w14:paraId="76F076BE" w14:textId="77777777" w:rsidR="00CB4ACD" w:rsidRPr="00576713" w:rsidRDefault="00CB4ACD" w:rsidP="00E62783">
      <w:pPr>
        <w:keepNext/>
        <w:numPr>
          <w:ilvl w:val="0"/>
          <w:numId w:val="9"/>
        </w:numPr>
        <w:suppressAutoHyphens/>
        <w:spacing w:after="0" w:line="36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576713">
        <w:rPr>
          <w:rFonts w:ascii="Times New Roman" w:eastAsia="Times New Roman" w:hAnsi="Times New Roman" w:cs="Times New Roman"/>
          <w:b/>
          <w:color w:val="auto"/>
          <w:lang w:eastAsia="zh-CN"/>
        </w:rPr>
        <w:t>Wymagania fotometryczne dla opraw oświetleniowych LED.</w:t>
      </w:r>
    </w:p>
    <w:p w14:paraId="0208616C" w14:textId="77777777" w:rsidR="00CB4ACD" w:rsidRPr="00576713" w:rsidRDefault="00CB4ACD" w:rsidP="00E62783">
      <w:pPr>
        <w:keepNext/>
        <w:keepLines/>
        <w:suppressAutoHyphens/>
        <w:spacing w:after="0" w:line="360" w:lineRule="auto"/>
        <w:ind w:left="709" w:firstLine="0"/>
        <w:contextualSpacing/>
        <w:outlineLvl w:val="2"/>
        <w:rPr>
          <w:rFonts w:ascii="Times New Roman" w:eastAsiaTheme="majorEastAsia" w:hAnsi="Times New Roman" w:cs="Times New Roman"/>
          <w:b/>
          <w:color w:val="auto"/>
          <w:lang w:eastAsia="zh-CN"/>
        </w:rPr>
      </w:pPr>
    </w:p>
    <w:p w14:paraId="168E0C3B" w14:textId="17906595" w:rsidR="00CB4ACD" w:rsidRPr="00576713" w:rsidRDefault="00CB4ACD" w:rsidP="00E6278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576713">
        <w:rPr>
          <w:rFonts w:ascii="Times New Roman" w:eastAsia="Times New Roman" w:hAnsi="Times New Roman" w:cs="Times New Roman"/>
          <w:color w:val="auto"/>
        </w:rPr>
        <w:t>oprawy muszą posiadać optyki o charakterystyce zapewniającej spełnienie wymagań Normy PN-EN 13201:2016 dla poszczególnych sytuacji drogowych określonych w </w:t>
      </w:r>
      <w:r w:rsidR="00576713" w:rsidRPr="00576713">
        <w:rPr>
          <w:rFonts w:ascii="Times New Roman" w:eastAsia="Times New Roman" w:hAnsi="Times New Roman" w:cs="Times New Roman"/>
          <w:b/>
          <w:color w:val="auto"/>
        </w:rPr>
        <w:t>Obliczeniach fotometrycznych</w:t>
      </w:r>
      <w:r w:rsidRPr="00576713">
        <w:rPr>
          <w:rFonts w:ascii="Times New Roman" w:eastAsia="Times New Roman" w:hAnsi="Times New Roman" w:cs="Times New Roman"/>
          <w:color w:val="auto"/>
        </w:rPr>
        <w:t>,</w:t>
      </w:r>
    </w:p>
    <w:p w14:paraId="1A57DD59" w14:textId="36655076" w:rsidR="00ED3B1D" w:rsidRDefault="00CB4ACD" w:rsidP="00ED3B1D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</w:rPr>
      </w:pPr>
      <w:r w:rsidRPr="00576713">
        <w:rPr>
          <w:rFonts w:ascii="Times New Roman" w:eastAsia="Times New Roman" w:hAnsi="Times New Roman" w:cs="Times New Roman"/>
          <w:color w:val="auto"/>
        </w:rPr>
        <w:t>oprawy należy montować względem poziomu pod kątem wynikającym z poszczególnych obliczeń fotometrycznych wykonanych zgodnie z Polską Normą PN-EN 13201:2016 dla wszystkich sytuacji oświetleniowych,</w:t>
      </w:r>
    </w:p>
    <w:p w14:paraId="02B89DA8" w14:textId="77777777" w:rsidR="00ED3B1D" w:rsidRPr="00ED3B1D" w:rsidRDefault="00ED3B1D" w:rsidP="00ED3B1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0A55E786" w14:textId="36655076" w:rsidR="00BF4A2C" w:rsidRPr="00D65105" w:rsidRDefault="00E54D2F" w:rsidP="00ED3B1D">
      <w:pPr>
        <w:pStyle w:val="Akapitzlist"/>
        <w:numPr>
          <w:ilvl w:val="0"/>
          <w:numId w:val="9"/>
        </w:numPr>
        <w:spacing w:after="141" w:line="360" w:lineRule="auto"/>
        <w:jc w:val="left"/>
        <w:rPr>
          <w:rFonts w:ascii="Times New Roman" w:hAnsi="Times New Roman" w:cs="Times New Roman"/>
          <w:b/>
        </w:rPr>
      </w:pPr>
      <w:r w:rsidRPr="00D65105">
        <w:rPr>
          <w:rFonts w:ascii="Times New Roman" w:hAnsi="Times New Roman" w:cs="Times New Roman"/>
          <w:b/>
        </w:rPr>
        <w:t xml:space="preserve">Zakres prac: </w:t>
      </w:r>
    </w:p>
    <w:p w14:paraId="0A55E787" w14:textId="77777777" w:rsidR="00BF4A2C" w:rsidRPr="00ED3B1D" w:rsidRDefault="000E3566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ED3B1D">
        <w:rPr>
          <w:rFonts w:ascii="Times New Roman" w:hAnsi="Times New Roman" w:cs="Times New Roman"/>
        </w:rPr>
        <w:t>Demontaż 50</w:t>
      </w:r>
      <w:r w:rsidR="00E54D2F" w:rsidRPr="00ED3B1D">
        <w:rPr>
          <w:rFonts w:ascii="Times New Roman" w:hAnsi="Times New Roman" w:cs="Times New Roman"/>
        </w:rPr>
        <w:t xml:space="preserve"> istniejących opraw oświetleniowych (sodowych), </w:t>
      </w:r>
    </w:p>
    <w:p w14:paraId="0A55E788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Dostawę opraw oświetleniowych ulicznych LED, zgodnych ze złożoną ofertą, w miejsce prowadzenia </w:t>
      </w:r>
      <w:r w:rsidR="000E3566" w:rsidRPr="00576713">
        <w:rPr>
          <w:rFonts w:ascii="Times New Roman" w:hAnsi="Times New Roman" w:cs="Times New Roman"/>
        </w:rPr>
        <w:t>prac instalacyjnych w liczbie 50</w:t>
      </w:r>
      <w:r w:rsidRPr="00576713">
        <w:rPr>
          <w:rFonts w:ascii="Times New Roman" w:hAnsi="Times New Roman" w:cs="Times New Roman"/>
        </w:rPr>
        <w:t xml:space="preserve"> szt. o parametrach zgodnych z niniejszym Opisem Przedmiotu </w:t>
      </w:r>
      <w:r w:rsidRPr="00576713">
        <w:rPr>
          <w:rFonts w:ascii="Times New Roman" w:hAnsi="Times New Roman" w:cs="Times New Roman"/>
        </w:rPr>
        <w:lastRenderedPageBreak/>
        <w:t xml:space="preserve">Zamówienia oraz wytycznymi programu „Rozświetlamy Polskę”, a w szczególności: Instalowane oprawy oświetleniowe muszą gwarantować możliwość zdalnego sterowania bez dodatkowej modyfikacji oprawy i jednocześnie posiadać łącznie certyfikaty: ENEC, ENEC+, ZD4i, obowiązek użycia przez wykonawcę nowych opraw wyprodukowanych na terenie Unii Europejskiej; </w:t>
      </w:r>
    </w:p>
    <w:p w14:paraId="0A55E789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>Instalację dostarczonych opraw oświetlenia zewnętrzn</w:t>
      </w:r>
      <w:r w:rsidR="000E3566" w:rsidRPr="00576713">
        <w:rPr>
          <w:rFonts w:ascii="Times New Roman" w:hAnsi="Times New Roman" w:cs="Times New Roman"/>
        </w:rPr>
        <w:t>ego na wysięgnikach w liczbie 50</w:t>
      </w:r>
      <w:r w:rsidRPr="00576713">
        <w:rPr>
          <w:rFonts w:ascii="Times New Roman" w:hAnsi="Times New Roman" w:cs="Times New Roman"/>
        </w:rPr>
        <w:t xml:space="preserve"> szt., </w:t>
      </w:r>
    </w:p>
    <w:p w14:paraId="0A55E78A" w14:textId="0101E942" w:rsidR="00BF4A2C" w:rsidRPr="00576713" w:rsidRDefault="00E54D2F" w:rsidP="00576713">
      <w:pPr>
        <w:numPr>
          <w:ilvl w:val="0"/>
          <w:numId w:val="1"/>
        </w:numPr>
        <w:spacing w:after="145"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Wykonawca ponosi koszt transportu zdemontowanych opraw </w:t>
      </w:r>
      <w:r w:rsidR="005F5AD6">
        <w:rPr>
          <w:rFonts w:ascii="Times New Roman" w:hAnsi="Times New Roman" w:cs="Times New Roman"/>
        </w:rPr>
        <w:t>oraz</w:t>
      </w:r>
      <w:r w:rsidR="009040BB" w:rsidRPr="00576713">
        <w:rPr>
          <w:rFonts w:ascii="Times New Roman" w:hAnsi="Times New Roman" w:cs="Times New Roman"/>
        </w:rPr>
        <w:t xml:space="preserve"> utylizacji, </w:t>
      </w:r>
    </w:p>
    <w:p w14:paraId="0A55E78B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Wykonanie </w:t>
      </w:r>
      <w:r w:rsidRPr="00576713">
        <w:rPr>
          <w:rFonts w:ascii="Times New Roman" w:hAnsi="Times New Roman" w:cs="Times New Roman"/>
          <w:u w:val="single" w:color="000000"/>
        </w:rPr>
        <w:t>dokumentacji powykonawczej</w:t>
      </w:r>
      <w:r w:rsidRPr="00576713">
        <w:rPr>
          <w:rFonts w:ascii="Times New Roman" w:hAnsi="Times New Roman" w:cs="Times New Roman"/>
        </w:rPr>
        <w:t xml:space="preserve"> dla opraw podlegających wymianie zawierającą m.in. karty techniczne zamontowanych materiałów, certyfikaty: ENEC, ENEC+, ZD4i, deklaracje zgodności, instrukcje obsługi i konserwacji urządzeń w języku polskim, szczegółowe zestawienie ilościowe dla poszczególnych stanowisk słupowych na poszczególnych stacji transformatorowych ze wskazaniem miejsc w załącznikach mapowych celem dokonania sprawdzenia, aktualizacji dokumentacji eksploatacyjnej;  </w:t>
      </w:r>
    </w:p>
    <w:p w14:paraId="0A55E78C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Wymagany okres gwarancji na wykonany przedmiot umowy – zgodnie z deklaracją Wykonawcy, nie mniej niż 60 miesięcy. Wymagany okres rękojmi na wykonany przedmiot umowy – zgodnie z deklaracją Wykonawcy, nie mniej niż 60 miesięcy. W ramach gwarancji Wykonawca zobowiązuje się do utrzymania w stanie niepogorszonym parametrów technicznych i użytkowych zamontowanych urządzeń uzyskanych w wyniku realizacji zadania. Zamawiającemu przysługują pełne uprawnienia z tytułu rękojmi za wady fizyczne w ww. okresie niezależnie od uprawnień z tytułu gwarancji. Udzielając gwarancji Wykonawca zapewnia bezpłatne czynności przeglądów gwarancyjnych w okresie udzielonej gwarancji na cały przedmiot zamówienia, koszt ten wykonawca winien uwzględnić w wynagrodzeniu. </w:t>
      </w:r>
    </w:p>
    <w:p w14:paraId="0A55E78E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Przedmiot zamówienia nie obejmuje jakichkolwiek czynności związanych z budową, lub wymianą słupów, na których posadowione jest istniejące oświetlenie uliczne.  </w:t>
      </w:r>
    </w:p>
    <w:p w14:paraId="0A55E78F" w14:textId="77777777" w:rsidR="00BF4A2C" w:rsidRPr="00576713" w:rsidRDefault="00E54D2F" w:rsidP="00576713">
      <w:pPr>
        <w:numPr>
          <w:ilvl w:val="0"/>
          <w:numId w:val="1"/>
        </w:numPr>
        <w:spacing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Wykonawca jest zobowiązany do wydzielenia i zabezpieczenia terenu prowadzonych robót.  </w:t>
      </w:r>
    </w:p>
    <w:p w14:paraId="0A55E790" w14:textId="77777777" w:rsidR="00BF4A2C" w:rsidRPr="00576713" w:rsidRDefault="00E54D2F" w:rsidP="00576713">
      <w:pPr>
        <w:numPr>
          <w:ilvl w:val="0"/>
          <w:numId w:val="1"/>
        </w:numPr>
        <w:spacing w:after="0" w:line="360" w:lineRule="auto"/>
        <w:ind w:right="39" w:hanging="360"/>
        <w:rPr>
          <w:rFonts w:ascii="Times New Roman" w:hAnsi="Times New Roman" w:cs="Times New Roman"/>
        </w:rPr>
      </w:pPr>
      <w:r w:rsidRPr="00576713">
        <w:rPr>
          <w:rFonts w:ascii="Times New Roman" w:hAnsi="Times New Roman" w:cs="Times New Roman"/>
        </w:rPr>
        <w:t xml:space="preserve">Wykonywanie robót, odbiory oraz organizację robót (BHP, p.poż, oraz koordynacja w zakresie BHP) na terenie prowadzonych robót należy prowadzić w oparciu o aktualne normy i przepisy prawa powszechnie obowiązującego. </w:t>
      </w:r>
    </w:p>
    <w:p w14:paraId="71197E54" w14:textId="77777777" w:rsidR="00D65105" w:rsidRDefault="00D65105" w:rsidP="00D65105">
      <w:pPr>
        <w:spacing w:after="249" w:line="259" w:lineRule="auto"/>
        <w:ind w:left="0" w:firstLine="0"/>
        <w:jc w:val="left"/>
        <w:rPr>
          <w:b/>
          <w:shd w:val="clear" w:color="auto" w:fill="C0C0C0"/>
        </w:rPr>
      </w:pPr>
    </w:p>
    <w:p w14:paraId="0A55E793" w14:textId="6B04F578" w:rsidR="00BF4A2C" w:rsidRDefault="00E54D2F">
      <w:pPr>
        <w:spacing w:after="249" w:line="259" w:lineRule="auto"/>
        <w:ind w:left="-5"/>
        <w:jc w:val="left"/>
      </w:pPr>
      <w:r>
        <w:rPr>
          <w:b/>
          <w:shd w:val="clear" w:color="auto" w:fill="C0C0C0"/>
        </w:rPr>
        <w:t>2.</w:t>
      </w:r>
      <w:r w:rsidR="00D65105">
        <w:rPr>
          <w:b/>
          <w:shd w:val="clear" w:color="auto" w:fill="C0C0C0"/>
        </w:rPr>
        <w:t xml:space="preserve"> </w:t>
      </w:r>
      <w:r>
        <w:rPr>
          <w:b/>
          <w:shd w:val="clear" w:color="auto" w:fill="C0C0C0"/>
        </w:rPr>
        <w:t>Zakres rzeczowy zadania:</w:t>
      </w:r>
      <w:r>
        <w:rPr>
          <w:b/>
        </w:rPr>
        <w:t xml:space="preserve"> </w:t>
      </w:r>
    </w:p>
    <w:p w14:paraId="0A55E794" w14:textId="77777777" w:rsidR="00BF4A2C" w:rsidRDefault="00E54D2F" w:rsidP="005F5AD6">
      <w:pPr>
        <w:pStyle w:val="Nagwek1"/>
        <w:spacing w:line="360" w:lineRule="auto"/>
        <w:ind w:left="279" w:right="845"/>
      </w:pPr>
      <w:r>
        <w:t>1)</w:t>
      </w:r>
      <w:r w:rsidR="00B6398E">
        <w:t>Podlesie, stacja 80627</w:t>
      </w:r>
      <w:r w:rsidR="00892FFE">
        <w:t xml:space="preserve">, </w:t>
      </w:r>
      <w:r>
        <w:t xml:space="preserve"> (rys. 1) </w:t>
      </w:r>
      <w:r>
        <w:rPr>
          <w:rFonts w:ascii="Times New Roman" w:eastAsia="Times New Roman" w:hAnsi="Times New Roman" w:cs="Times New Roman"/>
          <w:sz w:val="24"/>
        </w:rPr>
        <w:tab/>
      </w:r>
      <w:r>
        <w:tab/>
      </w:r>
    </w:p>
    <w:p w14:paraId="0A55E795" w14:textId="1C8F3238" w:rsidR="00BF4A2C" w:rsidRDefault="006767EF" w:rsidP="005F5AD6">
      <w:pPr>
        <w:numPr>
          <w:ilvl w:val="0"/>
          <w:numId w:val="2"/>
        </w:numPr>
        <w:spacing w:after="26" w:line="360" w:lineRule="auto"/>
        <w:ind w:right="39" w:hanging="283"/>
      </w:pPr>
      <w:bookmarkStart w:id="6" w:name="_Hlk176760715"/>
      <w:r>
        <w:t>Wymiana istniejącej oprawy oświetleniowej na oprawę typu</w:t>
      </w:r>
      <w:r w:rsidR="00AA484E">
        <w:t xml:space="preserve"> </w:t>
      </w:r>
      <w:r w:rsidRPr="00892FFE">
        <w:t xml:space="preserve">LED </w:t>
      </w:r>
      <w:r>
        <w:t>zgodną z załączonymi obliczeniami fotometrycznymi, wyposażoną w system zdalnego zarządzania oświetleniem</w:t>
      </w:r>
      <w:bookmarkEnd w:id="6"/>
      <w:r>
        <w:t>,</w:t>
      </w:r>
      <w:r w:rsidR="00E54D2F">
        <w:t xml:space="preserve">– </w:t>
      </w:r>
      <w:r w:rsidR="00B6398E">
        <w:rPr>
          <w:b/>
        </w:rPr>
        <w:t>3</w:t>
      </w:r>
      <w:r w:rsidR="00E54D2F">
        <w:rPr>
          <w:b/>
        </w:rPr>
        <w:t xml:space="preserve"> szt.</w:t>
      </w:r>
      <w:r w:rsidR="00E54D2F">
        <w:t xml:space="preserve"> </w:t>
      </w:r>
    </w:p>
    <w:p w14:paraId="0A55E796" w14:textId="77777777" w:rsidR="00BF4A2C" w:rsidRDefault="00E54D2F" w:rsidP="005F5AD6">
      <w:pPr>
        <w:pStyle w:val="Nagwek1"/>
        <w:spacing w:line="360" w:lineRule="auto"/>
        <w:ind w:left="279" w:right="845"/>
      </w:pPr>
      <w:r>
        <w:lastRenderedPageBreak/>
        <w:t>2)</w:t>
      </w:r>
      <w:r>
        <w:rPr>
          <w:rFonts w:ascii="Arial" w:eastAsia="Arial" w:hAnsi="Arial" w:cs="Arial"/>
        </w:rPr>
        <w:t xml:space="preserve"> </w:t>
      </w:r>
      <w:r w:rsidR="00B6398E">
        <w:t>Orchowo ul. Topolowa, stacja 80612, (rys.2)</w:t>
      </w:r>
    </w:p>
    <w:p w14:paraId="0A55E797" w14:textId="469CFEEE" w:rsidR="00BF4A2C" w:rsidRDefault="00AA484E" w:rsidP="005F5AD6">
      <w:pPr>
        <w:numPr>
          <w:ilvl w:val="0"/>
          <w:numId w:val="3"/>
        </w:numPr>
        <w:spacing w:after="26" w:line="360" w:lineRule="auto"/>
        <w:ind w:right="39" w:hanging="283"/>
      </w:pPr>
      <w:r>
        <w:t xml:space="preserve">Wymiana istniejącej oprawy oświetleniowej na oprawę typu </w:t>
      </w:r>
      <w:r w:rsidRPr="00892FFE">
        <w:t xml:space="preserve">LED </w:t>
      </w:r>
      <w:r>
        <w:t>zgodną z załączonymi obliczeniami fotometrycznymi, wyposażoną w system zdalnego zarządzania oświetleniem</w:t>
      </w:r>
      <w:r w:rsidR="007B25B0">
        <w:t>,</w:t>
      </w:r>
      <w:r>
        <w:t xml:space="preserve"> </w:t>
      </w:r>
      <w:r w:rsidR="00E54D2F">
        <w:t xml:space="preserve">– </w:t>
      </w:r>
      <w:r w:rsidR="00B6398E">
        <w:rPr>
          <w:b/>
        </w:rPr>
        <w:t>8</w:t>
      </w:r>
      <w:r w:rsidR="00E54D2F">
        <w:rPr>
          <w:b/>
        </w:rPr>
        <w:t xml:space="preserve"> szt.</w:t>
      </w:r>
      <w:r w:rsidR="00E54D2F">
        <w:t xml:space="preserve"> </w:t>
      </w:r>
    </w:p>
    <w:p w14:paraId="0A55E798" w14:textId="77777777" w:rsidR="00BF4A2C" w:rsidRDefault="00E54D2F" w:rsidP="005F5AD6">
      <w:pPr>
        <w:pStyle w:val="Nagwek1"/>
        <w:spacing w:line="360" w:lineRule="auto"/>
        <w:ind w:left="279" w:right="845"/>
      </w:pPr>
      <w:r>
        <w:t>3)</w:t>
      </w:r>
      <w:r>
        <w:rPr>
          <w:rFonts w:ascii="Arial" w:eastAsia="Arial" w:hAnsi="Arial" w:cs="Arial"/>
        </w:rPr>
        <w:t xml:space="preserve"> </w:t>
      </w:r>
      <w:r w:rsidR="00B6398E">
        <w:t>Orchowo ul. Kościuszki , stacja 80736, (rys. 3</w:t>
      </w:r>
      <w:r>
        <w:t xml:space="preserve">) </w:t>
      </w:r>
    </w:p>
    <w:p w14:paraId="0A55E799" w14:textId="61A8FFE5" w:rsidR="00BF4A2C" w:rsidRDefault="00E54D2F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>zgodną z załączonymi obliczeniami fotometrycznymi, wyposażoną w system zdalnego zarządzania oświetleniem,</w:t>
      </w:r>
      <w:r w:rsidR="00AA484E">
        <w:t xml:space="preserve"> </w:t>
      </w:r>
      <w:r>
        <w:t xml:space="preserve">– </w:t>
      </w:r>
      <w:r w:rsidR="00B6398E">
        <w:rPr>
          <w:b/>
        </w:rPr>
        <w:t>2</w:t>
      </w:r>
      <w:r>
        <w:rPr>
          <w:b/>
        </w:rPr>
        <w:t xml:space="preserve"> szt.</w:t>
      </w:r>
      <w:r>
        <w:t xml:space="preserve"> </w:t>
      </w:r>
    </w:p>
    <w:p w14:paraId="0A55E79A" w14:textId="77777777" w:rsidR="00B6398E" w:rsidRDefault="00B6398E" w:rsidP="005F5AD6">
      <w:pPr>
        <w:pStyle w:val="Nagwek1"/>
        <w:spacing w:line="360" w:lineRule="auto"/>
        <w:ind w:left="279" w:right="845"/>
      </w:pPr>
      <w:r>
        <w:t>4)</w:t>
      </w:r>
      <w:r>
        <w:rPr>
          <w:rFonts w:ascii="Arial" w:eastAsia="Arial" w:hAnsi="Arial" w:cs="Arial"/>
        </w:rPr>
        <w:t xml:space="preserve"> </w:t>
      </w:r>
      <w:r w:rsidR="00892FFE">
        <w:t xml:space="preserve">Orchowo ul. Dąbrowa , stacja </w:t>
      </w:r>
      <w:r w:rsidR="00892FFE" w:rsidRPr="00892FFE">
        <w:t>80665</w:t>
      </w:r>
      <w:r>
        <w:t xml:space="preserve"> (rys. 4) </w:t>
      </w:r>
    </w:p>
    <w:p w14:paraId="0A55E79B" w14:textId="64ECCD58" w:rsidR="00B6398E" w:rsidRDefault="00B6398E" w:rsidP="005F5AD6">
      <w:pPr>
        <w:spacing w:after="266" w:line="360" w:lineRule="auto"/>
        <w:ind w:left="852" w:right="39" w:hanging="283"/>
      </w:pPr>
      <w:r>
        <w:t>a</w:t>
      </w:r>
      <w:r w:rsidR="00892FFE">
        <w:t>)</w:t>
      </w:r>
      <w:r w:rsidR="00892FFE" w:rsidRPr="00892FFE"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 xml:space="preserve">zgodną z załączonymi obliczeniami fotometrycznymi, wyposażoną w system zdalnego zarządzania oświetleniem, </w:t>
      </w:r>
      <w:r>
        <w:t xml:space="preserve">– </w:t>
      </w:r>
      <w:r>
        <w:rPr>
          <w:b/>
        </w:rPr>
        <w:t>2 szt.</w:t>
      </w:r>
      <w:r>
        <w:t xml:space="preserve"> </w:t>
      </w:r>
    </w:p>
    <w:p w14:paraId="0A55E79C" w14:textId="77777777" w:rsidR="00B6398E" w:rsidRDefault="00B6398E" w:rsidP="005F5AD6">
      <w:pPr>
        <w:pStyle w:val="Nagwek1"/>
        <w:spacing w:line="360" w:lineRule="auto"/>
        <w:ind w:left="279" w:right="845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Ostrówek , stacja 80914, (rys. 5) </w:t>
      </w:r>
    </w:p>
    <w:p w14:paraId="0A55E79D" w14:textId="6B817D18" w:rsidR="00B6398E" w:rsidRDefault="00B6398E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>zgodną z załączonymi obliczeniami fotometrycznymi, wyposażoną w system zdalnego zarządzania oświetleniem,</w:t>
      </w:r>
      <w:r w:rsidR="00AA484E">
        <w:t xml:space="preserve"> </w:t>
      </w:r>
      <w:r>
        <w:t xml:space="preserve">– </w:t>
      </w:r>
      <w:r>
        <w:rPr>
          <w:b/>
        </w:rPr>
        <w:t>4 szt.</w:t>
      </w:r>
      <w:r>
        <w:t xml:space="preserve"> </w:t>
      </w:r>
    </w:p>
    <w:p w14:paraId="0A55E79E" w14:textId="77777777" w:rsidR="00B6398E" w:rsidRDefault="00B6398E" w:rsidP="005F5AD6">
      <w:pPr>
        <w:pStyle w:val="Nagwek1"/>
        <w:spacing w:line="360" w:lineRule="auto"/>
        <w:ind w:left="279" w:right="845"/>
      </w:pP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Linówiec , stacja 80616, (rys. 6) </w:t>
      </w:r>
    </w:p>
    <w:p w14:paraId="0A55E79F" w14:textId="570164B6" w:rsidR="00B6398E" w:rsidRDefault="00B6398E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>zgodną z załączonymi obliczeniami fotometrycznymi, wyposażoną w system zdalnego zarządzania oświetleniem,</w:t>
      </w:r>
      <w:r w:rsidR="007B25B0">
        <w:t> </w:t>
      </w:r>
      <w:r>
        <w:t xml:space="preserve">– </w:t>
      </w:r>
      <w:r>
        <w:rPr>
          <w:b/>
        </w:rPr>
        <w:t>8 szt.</w:t>
      </w:r>
      <w:r>
        <w:t xml:space="preserve"> </w:t>
      </w:r>
    </w:p>
    <w:p w14:paraId="0A55E7A0" w14:textId="77777777" w:rsidR="00B6398E" w:rsidRDefault="00B6398E" w:rsidP="005F5AD6">
      <w:pPr>
        <w:pStyle w:val="Nagwek1"/>
        <w:spacing w:line="360" w:lineRule="auto"/>
        <w:ind w:left="279" w:right="845"/>
      </w:pPr>
      <w:r>
        <w:t>7)</w:t>
      </w:r>
      <w:r w:rsidR="00A25435">
        <w:t xml:space="preserve"> Linówiec </w:t>
      </w:r>
      <w:r>
        <w:t xml:space="preserve">, stacja 80616, (rys. 7) </w:t>
      </w:r>
    </w:p>
    <w:p w14:paraId="0A55E7A1" w14:textId="072A0EF4" w:rsidR="00B6398E" w:rsidRDefault="00B6398E" w:rsidP="005F5AD6">
      <w:pPr>
        <w:spacing w:after="266" w:line="360" w:lineRule="auto"/>
        <w:ind w:left="852" w:right="39" w:hanging="283"/>
      </w:pPr>
      <w:r>
        <w:t>a</w:t>
      </w:r>
      <w:r w:rsidR="006767EF" w:rsidRPr="006767EF"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 xml:space="preserve">zgodną z załączonymi obliczeniami fotometrycznymi, wyposażoną w system zdalnego zarządzania oświetleniem, </w:t>
      </w:r>
      <w:r>
        <w:t xml:space="preserve">– </w:t>
      </w:r>
      <w:r>
        <w:rPr>
          <w:b/>
        </w:rPr>
        <w:t>3 szt.</w:t>
      </w:r>
      <w:r>
        <w:t xml:space="preserve"> </w:t>
      </w:r>
    </w:p>
    <w:p w14:paraId="0A55E7A2" w14:textId="77777777" w:rsidR="00AC75EA" w:rsidRDefault="00AC75EA" w:rsidP="005F5AD6">
      <w:pPr>
        <w:pStyle w:val="Nagwek1"/>
        <w:spacing w:line="360" w:lineRule="auto"/>
        <w:ind w:left="279" w:right="845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Słowikowo , stacja 80639, (rys. 8) </w:t>
      </w:r>
    </w:p>
    <w:p w14:paraId="0A55E7A3" w14:textId="68C095B5" w:rsidR="00AC75EA" w:rsidRDefault="00AC75EA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6767EF">
        <w:t xml:space="preserve">Wymiana istniejącej oprawy oświetleniowej na oprawę typu </w:t>
      </w:r>
      <w:r w:rsidR="006767EF" w:rsidRPr="00892FFE">
        <w:t xml:space="preserve"> LED </w:t>
      </w:r>
      <w:r w:rsidR="006767EF">
        <w:t xml:space="preserve">zgodną z załączonymi obliczeniami fotometrycznymi, wyposażoną w system zdalnego zarządzania oświetleniem, </w:t>
      </w:r>
      <w:r>
        <w:t xml:space="preserve">– </w:t>
      </w:r>
      <w:r>
        <w:rPr>
          <w:b/>
        </w:rPr>
        <w:t>10 szt.</w:t>
      </w:r>
      <w:r>
        <w:t xml:space="preserve"> </w:t>
      </w:r>
    </w:p>
    <w:p w14:paraId="0A55E7A4" w14:textId="77777777" w:rsidR="00AC75EA" w:rsidRDefault="00AC75EA" w:rsidP="005F5AD6">
      <w:pPr>
        <w:pStyle w:val="Nagwek1"/>
        <w:spacing w:line="360" w:lineRule="auto"/>
        <w:ind w:left="279" w:right="845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Wólka Orchowska , stacja 80617, (rys. 9) </w:t>
      </w:r>
    </w:p>
    <w:p w14:paraId="0A55E7A8" w14:textId="12C2D210" w:rsidR="00E14EB1" w:rsidRDefault="00AC75EA" w:rsidP="005F5AD6">
      <w:pPr>
        <w:spacing w:after="266" w:line="360" w:lineRule="auto"/>
        <w:ind w:left="852" w:right="39" w:hanging="283"/>
      </w:pPr>
      <w:r>
        <w:t>a)</w:t>
      </w:r>
      <w:r w:rsidR="00892FFE" w:rsidRPr="00892FFE">
        <w:t xml:space="preserve"> </w:t>
      </w:r>
      <w:r w:rsidR="007B25B0">
        <w:t xml:space="preserve">Wymiana istniejącej oprawy oświetleniowej na oprawę typu </w:t>
      </w:r>
      <w:r w:rsidR="007B25B0" w:rsidRPr="00892FFE">
        <w:t xml:space="preserve"> LED </w:t>
      </w:r>
      <w:r w:rsidR="007B25B0">
        <w:t xml:space="preserve">zgodną z załączonymi obliczeniami fotometrycznymi, wyposażoną w system zdalnego zarządzania oświetleniem, </w:t>
      </w:r>
      <w:r>
        <w:t xml:space="preserve">– 2 </w:t>
      </w:r>
      <w:r>
        <w:rPr>
          <w:b/>
        </w:rPr>
        <w:t xml:space="preserve"> szt.</w:t>
      </w:r>
      <w:r>
        <w:t xml:space="preserve"> </w:t>
      </w:r>
    </w:p>
    <w:p w14:paraId="0A55E7A9" w14:textId="77777777" w:rsidR="00AC75EA" w:rsidRDefault="00AC75EA" w:rsidP="005F5AD6">
      <w:pPr>
        <w:pStyle w:val="Nagwek1"/>
        <w:spacing w:line="360" w:lineRule="auto"/>
        <w:ind w:left="279" w:right="845"/>
      </w:pPr>
      <w:r>
        <w:t>10)</w:t>
      </w:r>
      <w:r>
        <w:rPr>
          <w:rFonts w:ascii="Arial" w:eastAsia="Arial" w:hAnsi="Arial" w:cs="Arial"/>
        </w:rPr>
        <w:t xml:space="preserve"> </w:t>
      </w:r>
      <w:r>
        <w:t xml:space="preserve">Suszewo  , stacja 80888, </w:t>
      </w:r>
      <w:r w:rsidR="00892FFE">
        <w:t xml:space="preserve"> </w:t>
      </w:r>
      <w:r>
        <w:t xml:space="preserve">(rys. 10) </w:t>
      </w:r>
    </w:p>
    <w:p w14:paraId="0A55E7AA" w14:textId="17D62D95" w:rsidR="00AC75EA" w:rsidRDefault="00AC75EA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7B25B0">
        <w:t xml:space="preserve">Wymiana istniejącej oprawy oświetleniowej na oprawę typu </w:t>
      </w:r>
      <w:r w:rsidR="007B25B0" w:rsidRPr="00892FFE">
        <w:t xml:space="preserve"> LED </w:t>
      </w:r>
      <w:r w:rsidR="007B25B0">
        <w:t>zgodną z załączonymi obliczeniami fotometrycznymi, wyposażoną w system zdalnego zarządzania oświetleniem,</w:t>
      </w:r>
      <w:r w:rsidR="00AA484E">
        <w:t xml:space="preserve"> </w:t>
      </w:r>
      <w:r>
        <w:t xml:space="preserve">– </w:t>
      </w:r>
      <w:r>
        <w:rPr>
          <w:b/>
        </w:rPr>
        <w:t>2 szt.</w:t>
      </w:r>
      <w:r>
        <w:t xml:space="preserve"> </w:t>
      </w:r>
    </w:p>
    <w:p w14:paraId="0A55E7AB" w14:textId="77777777" w:rsidR="00AC75EA" w:rsidRDefault="00AC75EA" w:rsidP="005F5AD6">
      <w:pPr>
        <w:pStyle w:val="Nagwek1"/>
        <w:spacing w:line="360" w:lineRule="auto"/>
        <w:ind w:left="279" w:right="845"/>
      </w:pPr>
      <w:r>
        <w:lastRenderedPageBreak/>
        <w:t>11)</w:t>
      </w:r>
      <w:r>
        <w:rPr>
          <w:rFonts w:ascii="Arial" w:eastAsia="Arial" w:hAnsi="Arial" w:cs="Arial"/>
        </w:rPr>
        <w:t xml:space="preserve"> </w:t>
      </w:r>
      <w:r>
        <w:t xml:space="preserve">Suszewo , stacja 80614, (rys.10) </w:t>
      </w:r>
    </w:p>
    <w:p w14:paraId="0A55E7AC" w14:textId="7249BEF2" w:rsidR="00AC75EA" w:rsidRDefault="00AC75EA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7B25B0">
        <w:t xml:space="preserve">Wymiana istniejącej oprawy oświetleniowej na oprawę typu </w:t>
      </w:r>
      <w:r w:rsidR="007B25B0" w:rsidRPr="00892FFE">
        <w:t xml:space="preserve"> LED </w:t>
      </w:r>
      <w:r w:rsidR="007B25B0">
        <w:t>zgodną z załączonymi obliczeniami fotometrycznymi, wyposażoną w system zdalnego zarządzania oświetleniem,</w:t>
      </w:r>
      <w:r w:rsidR="00AA484E">
        <w:t xml:space="preserve"> </w:t>
      </w:r>
      <w:r>
        <w:t xml:space="preserve">– </w:t>
      </w:r>
      <w:r>
        <w:rPr>
          <w:b/>
        </w:rPr>
        <w:t>2 szt.</w:t>
      </w:r>
      <w:r>
        <w:t xml:space="preserve"> </w:t>
      </w:r>
    </w:p>
    <w:p w14:paraId="0A55E7AD" w14:textId="77777777" w:rsidR="00AC75EA" w:rsidRDefault="00AC75EA" w:rsidP="005F5AD6">
      <w:pPr>
        <w:pStyle w:val="Nagwek1"/>
        <w:spacing w:line="360" w:lineRule="auto"/>
        <w:ind w:left="279" w:right="845"/>
      </w:pPr>
      <w:r>
        <w:t>12)</w:t>
      </w:r>
      <w:r>
        <w:rPr>
          <w:rFonts w:ascii="Arial" w:eastAsia="Arial" w:hAnsi="Arial" w:cs="Arial"/>
        </w:rPr>
        <w:t xml:space="preserve"> </w:t>
      </w:r>
      <w:r>
        <w:t xml:space="preserve">Mlecze (działki) ul. Letniskowa, Wczasowa, Spokojna , stacja 80615, (rys. 11) </w:t>
      </w:r>
    </w:p>
    <w:p w14:paraId="0A55E7AE" w14:textId="26526C62" w:rsidR="00AC75EA" w:rsidRDefault="00AC75EA" w:rsidP="005F5AD6">
      <w:pPr>
        <w:spacing w:after="266" w:line="360" w:lineRule="auto"/>
        <w:ind w:left="852" w:right="39" w:hanging="283"/>
      </w:pPr>
      <w:r>
        <w:t>a)</w:t>
      </w:r>
      <w:r>
        <w:rPr>
          <w:rFonts w:ascii="Arial" w:eastAsia="Arial" w:hAnsi="Arial" w:cs="Arial"/>
        </w:rPr>
        <w:t xml:space="preserve"> </w:t>
      </w:r>
      <w:r w:rsidR="00892FFE">
        <w:t xml:space="preserve">Wymiana istniejącej oprawy oświetleniowej na oprawę typu </w:t>
      </w:r>
      <w:r w:rsidR="00892FFE" w:rsidRPr="00892FFE">
        <w:t xml:space="preserve"> </w:t>
      </w:r>
      <w:r w:rsidR="00686462">
        <w:t>p</w:t>
      </w:r>
      <w:r w:rsidR="00554896">
        <w:t xml:space="preserve">arkowego montowaną na </w:t>
      </w:r>
      <w:r w:rsidR="00A20F98">
        <w:t>czepieniu</w:t>
      </w:r>
      <w:r w:rsidR="00554896">
        <w:t xml:space="preserve"> słupa o </w:t>
      </w:r>
      <w:r w:rsidR="00686462">
        <w:t>stylistyce zgodnej ze wskazanymi poniżej</w:t>
      </w:r>
      <w:r w:rsidR="00AA484E">
        <w:t>,</w:t>
      </w:r>
      <w:r w:rsidR="00FA7733">
        <w:t xml:space="preserve"> </w:t>
      </w:r>
      <w:r w:rsidR="00FA7733" w:rsidRPr="00FA7733">
        <w:t xml:space="preserve"> </w:t>
      </w:r>
      <w:r w:rsidR="00892FFE">
        <w:t>o strumieniu świetlnym lampy na poziomi</w:t>
      </w:r>
      <w:r w:rsidR="0001356B">
        <w:t>e 8000</w:t>
      </w:r>
      <w:r w:rsidR="00AA484E">
        <w:t xml:space="preserve"> lm</w:t>
      </w:r>
      <w:r w:rsidR="00892FFE">
        <w:t xml:space="preserve"> </w:t>
      </w:r>
      <w:r w:rsidR="00AA484E">
        <w:t xml:space="preserve">i mocy nie wyższej niż 45W </w:t>
      </w:r>
      <w:r w:rsidR="00892FFE">
        <w:t>, wyposażoną w system zdalnego zarządzania oświetleniem</w:t>
      </w:r>
      <w:r>
        <w:t xml:space="preserve">– </w:t>
      </w:r>
      <w:r>
        <w:rPr>
          <w:b/>
        </w:rPr>
        <w:t>4 szt.</w:t>
      </w:r>
      <w:r>
        <w:t xml:space="preserve"> </w:t>
      </w:r>
    </w:p>
    <w:p w14:paraId="581AA35B" w14:textId="71D2C6B1" w:rsidR="0001356B" w:rsidRDefault="001F67EB" w:rsidP="005F5AD6">
      <w:pPr>
        <w:spacing w:after="266" w:line="360" w:lineRule="auto"/>
        <w:ind w:left="852" w:right="39" w:hanging="283"/>
        <w:jc w:val="center"/>
      </w:pPr>
      <w:r w:rsidRPr="00A854D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CF08BFA" wp14:editId="3E1D5615">
            <wp:extent cx="1903863" cy="1687757"/>
            <wp:effectExtent l="0" t="0" r="1270" b="8255"/>
            <wp:docPr id="714658701" name="Obraz 714658701" descr="TownTune Central Post-Top Oprawy drogowe i uliczne - Phi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wnTune Central Post-Top Oprawy drogowe i uliczne - Philip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1" t="17193" r="7858" b="57477"/>
                    <a:stretch/>
                  </pic:blipFill>
                  <pic:spPr bwMode="auto">
                    <a:xfrm>
                      <a:off x="0" y="0"/>
                      <a:ext cx="1917040" cy="16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C90" w:rsidRPr="00A854D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6F9C580" wp14:editId="771A90CB">
            <wp:extent cx="1852246" cy="1548342"/>
            <wp:effectExtent l="0" t="0" r="0" b="0"/>
            <wp:docPr id="11" name="Obraz 11" descr="Wydajna i nowoczesna oprawa miejska o trwałej konstrukcji | Schré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ydajna i nowoczesna oprawa miejska o trwałej konstrukcji | Schré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1" b="9006"/>
                    <a:stretch/>
                  </pic:blipFill>
                  <pic:spPr bwMode="auto">
                    <a:xfrm>
                      <a:off x="0" y="0"/>
                      <a:ext cx="1887286" cy="157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5E7AF" w14:textId="77777777" w:rsidR="00BF4A2C" w:rsidRDefault="00E54D2F" w:rsidP="005F5AD6">
      <w:pPr>
        <w:spacing w:after="98" w:line="360" w:lineRule="auto"/>
        <w:ind w:left="0" w:firstLine="0"/>
        <w:jc w:val="left"/>
      </w:pPr>
      <w:r>
        <w:rPr>
          <w:b/>
          <w:shd w:val="clear" w:color="auto" w:fill="C0C0C0"/>
        </w:rPr>
        <w:t>3. Opis techniczny:</w:t>
      </w:r>
      <w:r>
        <w:rPr>
          <w:b/>
        </w:rPr>
        <w:t xml:space="preserve"> </w:t>
      </w:r>
    </w:p>
    <w:p w14:paraId="0A55E7B0" w14:textId="77777777" w:rsidR="00BF4A2C" w:rsidRDefault="00E54D2F" w:rsidP="005F5AD6">
      <w:pPr>
        <w:spacing w:after="0" w:line="360" w:lineRule="auto"/>
        <w:ind w:left="0" w:right="39" w:firstLine="706"/>
      </w:pPr>
      <w:r>
        <w:t xml:space="preserve">W zakresie prac należy dokonać wymiany istniejących opraw oświetleniowych na nowe oprawy zgodnie z zakresem rzeczowym. Montażu nowych opraw należy dokonać w lokalizacjach zgodnych z załączonym schematem.  </w:t>
      </w:r>
    </w:p>
    <w:p w14:paraId="0A55E7B1" w14:textId="77777777" w:rsidR="00BF4A2C" w:rsidRDefault="00E54D2F" w:rsidP="005F5AD6">
      <w:pPr>
        <w:spacing w:after="0" w:line="360" w:lineRule="auto"/>
        <w:ind w:left="0" w:right="52" w:firstLine="0"/>
        <w:jc w:val="right"/>
      </w:pPr>
      <w:r>
        <w:t xml:space="preserve">Oprawy na linii napowietrznej należy montować na istniejących wysięgnikach w celu zasilenia opraw </w:t>
      </w:r>
    </w:p>
    <w:p w14:paraId="0A55E7B2" w14:textId="77777777" w:rsidR="00BF4A2C" w:rsidRDefault="00E54D2F" w:rsidP="005F5AD6">
      <w:pPr>
        <w:spacing w:after="10" w:line="360" w:lineRule="auto"/>
        <w:ind w:left="10" w:right="39"/>
      </w:pPr>
      <w:r>
        <w:t xml:space="preserve">należy wykorzystać istniejące przewody zasilające. </w:t>
      </w:r>
    </w:p>
    <w:p w14:paraId="483215C4" w14:textId="77777777" w:rsidR="001C067A" w:rsidRPr="001C067A" w:rsidRDefault="001C067A" w:rsidP="005F5AD6">
      <w:pPr>
        <w:spacing w:after="10" w:line="360" w:lineRule="auto"/>
        <w:ind w:left="10" w:right="39"/>
        <w:rPr>
          <w:b/>
          <w:bCs/>
        </w:rPr>
      </w:pPr>
    </w:p>
    <w:p w14:paraId="0A55E7B3" w14:textId="166DEDE2" w:rsidR="00BF4A2C" w:rsidRPr="001C067A" w:rsidRDefault="00E54D2F" w:rsidP="005F5AD6">
      <w:pPr>
        <w:spacing w:after="0" w:line="360" w:lineRule="auto"/>
        <w:ind w:left="706" w:firstLine="0"/>
        <w:jc w:val="left"/>
        <w:rPr>
          <w:b/>
          <w:bCs/>
        </w:rPr>
      </w:pPr>
      <w:r w:rsidRPr="001C067A">
        <w:rPr>
          <w:b/>
          <w:bCs/>
        </w:rPr>
        <w:t xml:space="preserve"> </w:t>
      </w:r>
      <w:r w:rsidR="001C067A" w:rsidRPr="001C067A">
        <w:rPr>
          <w:b/>
          <w:bCs/>
        </w:rPr>
        <w:t>Prace należy wykonywać w technologii PPN</w:t>
      </w:r>
    </w:p>
    <w:p w14:paraId="0A55E7B4" w14:textId="77777777" w:rsidR="00BF4A2C" w:rsidRDefault="00E54D2F" w:rsidP="005F5AD6">
      <w:pPr>
        <w:spacing w:after="0" w:line="360" w:lineRule="auto"/>
        <w:ind w:left="706" w:firstLine="0"/>
      </w:pPr>
      <w:r>
        <w:t xml:space="preserve"> </w:t>
      </w:r>
    </w:p>
    <w:p w14:paraId="0A55E7B5" w14:textId="0E964362" w:rsidR="00BF4A2C" w:rsidRPr="00E54D2F" w:rsidRDefault="00E54D2F" w:rsidP="005F5AD6">
      <w:pPr>
        <w:pStyle w:val="Nagwek1"/>
        <w:spacing w:line="360" w:lineRule="auto"/>
        <w:ind w:left="0" w:right="845" w:firstLine="0"/>
        <w:jc w:val="both"/>
        <w:rPr>
          <w:b w:val="0"/>
        </w:rPr>
      </w:pPr>
      <w:r w:rsidRPr="00E54D2F">
        <w:rPr>
          <w:b w:val="0"/>
        </w:rPr>
        <w:t>Do pisma zgłaszającego zakończenie prac i gotowość do odbioru technicznego, należy załączyć</w:t>
      </w:r>
      <w:r w:rsidR="00D65105">
        <w:rPr>
          <w:b w:val="0"/>
        </w:rPr>
        <w:t xml:space="preserve"> </w:t>
      </w:r>
      <w:r>
        <w:rPr>
          <w:b w:val="0"/>
        </w:rPr>
        <w:t>dokumentację powykonawczą.</w:t>
      </w:r>
    </w:p>
    <w:p w14:paraId="0A55E7B8" w14:textId="77777777" w:rsidR="00E54D2F" w:rsidRDefault="00E54D2F" w:rsidP="005F5AD6">
      <w:pPr>
        <w:spacing w:after="0" w:line="360" w:lineRule="auto"/>
        <w:ind w:left="0" w:firstLine="0"/>
        <w:jc w:val="left"/>
      </w:pPr>
    </w:p>
    <w:p w14:paraId="0A55E7B9" w14:textId="0CB016A1" w:rsidR="00BF4A2C" w:rsidRDefault="00E54D2F" w:rsidP="005F5AD6">
      <w:pPr>
        <w:spacing w:after="6" w:line="360" w:lineRule="auto"/>
        <w:ind w:left="10" w:right="845"/>
        <w:jc w:val="left"/>
      </w:pPr>
      <w:r>
        <w:rPr>
          <w:b/>
        </w:rPr>
        <w:t>Załączniki</w:t>
      </w:r>
      <w:r w:rsidR="00F76965">
        <w:rPr>
          <w:b/>
        </w:rPr>
        <w:t xml:space="preserve"> graficzne</w:t>
      </w:r>
      <w:r w:rsidR="00231346">
        <w:rPr>
          <w:b/>
        </w:rPr>
        <w:t xml:space="preserve"> i obliczenia fotometryczne</w:t>
      </w:r>
      <w:r>
        <w:rPr>
          <w:b/>
        </w:rPr>
        <w:t xml:space="preserve">: </w:t>
      </w:r>
    </w:p>
    <w:p w14:paraId="0A55E7BA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Podlesie</w:t>
      </w:r>
    </w:p>
    <w:p w14:paraId="0A55E7BB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Orchowo, ul. Topolowa</w:t>
      </w:r>
    </w:p>
    <w:p w14:paraId="0A55E7BC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Orchowo, ul. Kościuszki wiadukt</w:t>
      </w:r>
    </w:p>
    <w:p w14:paraId="0A55E7BD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Orchowo, Dąbrowa</w:t>
      </w:r>
    </w:p>
    <w:p w14:paraId="0A55E7BE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lastRenderedPageBreak/>
        <w:t>Ostrówek</w:t>
      </w:r>
    </w:p>
    <w:p w14:paraId="0A55E7BF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Linówiec, koło Cmentarza</w:t>
      </w:r>
    </w:p>
    <w:p w14:paraId="0A55E7C0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 xml:space="preserve">Linówiec, przed parkiem </w:t>
      </w:r>
    </w:p>
    <w:p w14:paraId="0A55E7C1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Słowikowo przy ŚDS</w:t>
      </w:r>
    </w:p>
    <w:p w14:paraId="0A55E7C2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 xml:space="preserve">Wólka Orchowska </w:t>
      </w:r>
    </w:p>
    <w:p w14:paraId="0A55E7C3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 xml:space="preserve">Suszewo </w:t>
      </w:r>
    </w:p>
    <w:p w14:paraId="0A55E7C4" w14:textId="77777777" w:rsidR="00AC75EA" w:rsidRDefault="00AC75EA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 xml:space="preserve">Mlecze ul. Letniskowa, Wczasowa, Spokojna </w:t>
      </w:r>
    </w:p>
    <w:p w14:paraId="513E0D10" w14:textId="5025538B" w:rsidR="00231346" w:rsidRDefault="0001494C" w:rsidP="005F5AD6">
      <w:pPr>
        <w:pStyle w:val="Akapitzlist"/>
        <w:numPr>
          <w:ilvl w:val="0"/>
          <w:numId w:val="6"/>
        </w:numPr>
        <w:spacing w:after="0" w:line="360" w:lineRule="auto"/>
        <w:jc w:val="left"/>
      </w:pPr>
      <w:r>
        <w:t>Obliczenia fotometryczne</w:t>
      </w:r>
    </w:p>
    <w:p w14:paraId="076193E7" w14:textId="18DF3B9F" w:rsidR="00FD3C2F" w:rsidRDefault="00FD3C2F" w:rsidP="00930C18">
      <w:pPr>
        <w:spacing w:after="0" w:line="259" w:lineRule="auto"/>
        <w:ind w:left="360" w:firstLine="0"/>
        <w:jc w:val="left"/>
      </w:pPr>
    </w:p>
    <w:p w14:paraId="0A55E7C5" w14:textId="5460081B" w:rsidR="00BF4A2C" w:rsidRDefault="00E54D2F">
      <w:pPr>
        <w:spacing w:after="0" w:line="259" w:lineRule="auto"/>
        <w:ind w:left="0" w:firstLine="0"/>
        <w:jc w:val="left"/>
      </w:pPr>
      <w:r>
        <w:t xml:space="preserve"> </w:t>
      </w:r>
    </w:p>
    <w:sectPr w:rsidR="00BF4A2C" w:rsidSect="007D3530">
      <w:headerReference w:type="default" r:id="rId9"/>
      <w:footerReference w:type="default" r:id="rId10"/>
      <w:pgSz w:w="11906" w:h="16838"/>
      <w:pgMar w:top="443" w:right="1083" w:bottom="865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F2F2" w14:textId="77777777" w:rsidR="00505C7E" w:rsidRDefault="00505C7E" w:rsidP="007D3530">
      <w:pPr>
        <w:spacing w:after="0" w:line="240" w:lineRule="auto"/>
      </w:pPr>
      <w:r>
        <w:separator/>
      </w:r>
    </w:p>
  </w:endnote>
  <w:endnote w:type="continuationSeparator" w:id="0">
    <w:p w14:paraId="3A90D5E8" w14:textId="77777777" w:rsidR="00505C7E" w:rsidRDefault="00505C7E" w:rsidP="007D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8522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55E7D6" w14:textId="77777777" w:rsidR="00E14EB1" w:rsidRDefault="00E14EB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B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BB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5E7D7" w14:textId="77777777" w:rsidR="007D3530" w:rsidRDefault="007D3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9F61" w14:textId="77777777" w:rsidR="00505C7E" w:rsidRDefault="00505C7E" w:rsidP="007D3530">
      <w:pPr>
        <w:spacing w:after="0" w:line="240" w:lineRule="auto"/>
      </w:pPr>
      <w:r>
        <w:separator/>
      </w:r>
    </w:p>
  </w:footnote>
  <w:footnote w:type="continuationSeparator" w:id="0">
    <w:p w14:paraId="66443511" w14:textId="77777777" w:rsidR="00505C7E" w:rsidRDefault="00505C7E" w:rsidP="007D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2130" w14:textId="0688776A" w:rsidR="00D204C3" w:rsidRDefault="00D83E39" w:rsidP="00DA5048">
    <w:pPr>
      <w:pStyle w:val="Nagwek"/>
      <w:ind w:left="851" w:firstLine="0"/>
    </w:pPr>
    <w:r>
      <w:rPr>
        <w:noProof/>
      </w:rPr>
      <w:drawing>
        <wp:inline distT="0" distB="0" distL="0" distR="0" wp14:anchorId="3C59DFD2" wp14:editId="5EEC4B9C">
          <wp:extent cx="1908175" cy="579120"/>
          <wp:effectExtent l="0" t="0" r="0" b="0"/>
          <wp:docPr id="1980159282" name="Picture 8" descr="Obraz zawierający ptak, kurczak, symbol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raz zawierający ptak, kurczak, symbol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17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4E5369" wp14:editId="7B03B709">
          <wp:extent cx="2740660" cy="796290"/>
          <wp:effectExtent l="0" t="0" r="2540" b="3810"/>
          <wp:docPr id="1354129471" name="Picture 10" descr="Obraz zawierający tekst, Czcionka, logo, Mar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braz zawierający tekst, Czcionka, logo, Mar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0660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875"/>
    <w:multiLevelType w:val="hybridMultilevel"/>
    <w:tmpl w:val="866072EA"/>
    <w:lvl w:ilvl="0" w:tplc="056A20BE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AE8"/>
    <w:multiLevelType w:val="hybridMultilevel"/>
    <w:tmpl w:val="C2C8E662"/>
    <w:lvl w:ilvl="0" w:tplc="DFDA29A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499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C0D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209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5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86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693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D3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8DD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02292"/>
    <w:multiLevelType w:val="hybridMultilevel"/>
    <w:tmpl w:val="E3E0BA10"/>
    <w:lvl w:ilvl="0" w:tplc="A7AA9C66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27E08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203F4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07238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88764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AA72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E0FE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6211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ADDAA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BB0C44"/>
    <w:multiLevelType w:val="hybridMultilevel"/>
    <w:tmpl w:val="76003F86"/>
    <w:lvl w:ilvl="0" w:tplc="569AB70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6D1FE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80698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EAADE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5A3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21B50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C4FD8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CC4E2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A5C8A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1725B"/>
    <w:multiLevelType w:val="hybridMultilevel"/>
    <w:tmpl w:val="96E2E1DC"/>
    <w:lvl w:ilvl="0" w:tplc="503217C8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437B8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6206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6963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91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6BF8A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E9F6A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4666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E6A5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B63A02"/>
    <w:multiLevelType w:val="hybridMultilevel"/>
    <w:tmpl w:val="1EE6A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2979"/>
    <w:multiLevelType w:val="hybridMultilevel"/>
    <w:tmpl w:val="60D8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C56C3"/>
    <w:multiLevelType w:val="hybridMultilevel"/>
    <w:tmpl w:val="4372B93C"/>
    <w:lvl w:ilvl="0" w:tplc="E9FE3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D6C3C"/>
    <w:multiLevelType w:val="hybridMultilevel"/>
    <w:tmpl w:val="7C9E1C16"/>
    <w:lvl w:ilvl="0" w:tplc="D9368D2A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2C"/>
    <w:rsid w:val="0001356B"/>
    <w:rsid w:val="0001494C"/>
    <w:rsid w:val="00022FE1"/>
    <w:rsid w:val="000B4B60"/>
    <w:rsid w:val="000E3566"/>
    <w:rsid w:val="001A1532"/>
    <w:rsid w:val="001C067A"/>
    <w:rsid w:val="001F67EB"/>
    <w:rsid w:val="002308AE"/>
    <w:rsid w:val="00231346"/>
    <w:rsid w:val="002678BF"/>
    <w:rsid w:val="00286F83"/>
    <w:rsid w:val="002E1208"/>
    <w:rsid w:val="002E4AB6"/>
    <w:rsid w:val="002F4B7F"/>
    <w:rsid w:val="004565CC"/>
    <w:rsid w:val="004C65C2"/>
    <w:rsid w:val="00505C7E"/>
    <w:rsid w:val="00554896"/>
    <w:rsid w:val="00565D36"/>
    <w:rsid w:val="00576713"/>
    <w:rsid w:val="005F5AD6"/>
    <w:rsid w:val="00601197"/>
    <w:rsid w:val="00662610"/>
    <w:rsid w:val="006767EF"/>
    <w:rsid w:val="00686462"/>
    <w:rsid w:val="007B25B0"/>
    <w:rsid w:val="007D3530"/>
    <w:rsid w:val="008465BB"/>
    <w:rsid w:val="00880BB1"/>
    <w:rsid w:val="00892FFE"/>
    <w:rsid w:val="008B4950"/>
    <w:rsid w:val="009040BB"/>
    <w:rsid w:val="00930C18"/>
    <w:rsid w:val="0096302A"/>
    <w:rsid w:val="00A01357"/>
    <w:rsid w:val="00A20F98"/>
    <w:rsid w:val="00A25435"/>
    <w:rsid w:val="00AA484E"/>
    <w:rsid w:val="00AC75EA"/>
    <w:rsid w:val="00AD3E92"/>
    <w:rsid w:val="00B35EDA"/>
    <w:rsid w:val="00B6398E"/>
    <w:rsid w:val="00BF4A2C"/>
    <w:rsid w:val="00C525E6"/>
    <w:rsid w:val="00CB4ACD"/>
    <w:rsid w:val="00CE2BBA"/>
    <w:rsid w:val="00D204C3"/>
    <w:rsid w:val="00D65105"/>
    <w:rsid w:val="00D83E39"/>
    <w:rsid w:val="00D95C90"/>
    <w:rsid w:val="00DA5048"/>
    <w:rsid w:val="00DE2919"/>
    <w:rsid w:val="00E14EB1"/>
    <w:rsid w:val="00E54D2F"/>
    <w:rsid w:val="00E62783"/>
    <w:rsid w:val="00ED3B1D"/>
    <w:rsid w:val="00F01C1E"/>
    <w:rsid w:val="00F44220"/>
    <w:rsid w:val="00F66242"/>
    <w:rsid w:val="00F76965"/>
    <w:rsid w:val="00FA7733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E77F"/>
  <w15:docId w15:val="{279A4B39-259D-4504-BAA9-DA06B706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 w:line="248" w:lineRule="auto"/>
      <w:ind w:left="58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" w:line="264" w:lineRule="auto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2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C7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53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D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5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Kuncman;Teresa Piotrowska</dc:creator>
  <cp:keywords/>
  <cp:lastModifiedBy>Dariusz Nowak</cp:lastModifiedBy>
  <cp:revision>2</cp:revision>
  <cp:lastPrinted>2024-09-03T05:47:00Z</cp:lastPrinted>
  <dcterms:created xsi:type="dcterms:W3CDTF">2024-09-11T09:25:00Z</dcterms:created>
  <dcterms:modified xsi:type="dcterms:W3CDTF">2024-09-11T09:25:00Z</dcterms:modified>
</cp:coreProperties>
</file>