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1219200"/>
                  <wp:effectExtent l="0" t="0" r="0" b="0"/>
                  <wp:docPr id="1" name="_tx_id_1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color w:val="000000"/>
          <w:sz w:val="48"/>
        </w:rPr>
      </w:pPr>
      <w:r>
        <w:rPr>
          <w:color w:val="000000"/>
          <w:sz w:val="48"/>
        </w:rPr>
        <w:t>Ekonomiczna analiza optymalizacyjno-porównawcza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48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48"/>
        </w:rPr>
      </w:pPr>
    </w:p>
    <w:p w:rsidR="007D4BEA" w:rsidRDefault="0013192D" w:rsidP="007D4BEA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360"/>
          <w:tab w:val="left" w:pos="10080"/>
        </w:tabs>
        <w:spacing w:line="360" w:lineRule="auto"/>
        <w:jc w:val="center"/>
        <w:rPr>
          <w:color w:val="000000"/>
          <w:lang w:val="pl-PL"/>
        </w:rPr>
      </w:pPr>
      <w:r>
        <w:rPr>
          <w:color w:val="000000"/>
        </w:rPr>
        <w:t>Tytuł:</w:t>
      </w:r>
      <w:r w:rsidR="005E16E4" w:rsidRPr="007D4BEA">
        <w:rPr>
          <w:color w:val="000000"/>
        </w:rPr>
        <w:t xml:space="preserve"> </w:t>
      </w:r>
      <w:bookmarkStart w:id="0" w:name="_GoBack"/>
      <w:r w:rsidR="007D4BEA" w:rsidRPr="007D4BEA">
        <w:rPr>
          <w:color w:val="000000"/>
        </w:rPr>
        <w:t xml:space="preserve">Rewitalizacja </w:t>
      </w:r>
      <w:r w:rsidR="007D4BEA">
        <w:rPr>
          <w:color w:val="000000"/>
          <w:lang w:val="pl-PL"/>
        </w:rPr>
        <w:t>p</w:t>
      </w:r>
      <w:r w:rsidR="007D4BEA" w:rsidRPr="007D4BEA">
        <w:rPr>
          <w:color w:val="000000"/>
        </w:rPr>
        <w:t>arowozowni,</w:t>
      </w:r>
      <w:r w:rsidR="007D4BEA">
        <w:rPr>
          <w:color w:val="000000"/>
          <w:lang w:val="pl-PL"/>
        </w:rPr>
        <w:t xml:space="preserve"> p</w:t>
      </w:r>
      <w:r w:rsidR="007D4BEA" w:rsidRPr="007D4BEA">
        <w:rPr>
          <w:color w:val="000000"/>
        </w:rPr>
        <w:t xml:space="preserve">ozostałych </w:t>
      </w:r>
      <w:r w:rsidR="007D4BEA">
        <w:rPr>
          <w:color w:val="000000"/>
          <w:lang w:val="pl-PL"/>
        </w:rPr>
        <w:t>o</w:t>
      </w:r>
      <w:r w:rsidR="007D4BEA" w:rsidRPr="007D4BEA">
        <w:rPr>
          <w:color w:val="000000"/>
        </w:rPr>
        <w:t xml:space="preserve">biektów </w:t>
      </w:r>
      <w:r w:rsidR="007D4BEA">
        <w:rPr>
          <w:color w:val="000000"/>
          <w:lang w:val="pl-PL"/>
        </w:rPr>
        <w:t>o</w:t>
      </w:r>
      <w:r w:rsidR="007D4BEA" w:rsidRPr="007D4BEA">
        <w:rPr>
          <w:color w:val="000000"/>
        </w:rPr>
        <w:t xml:space="preserve">raz </w:t>
      </w:r>
      <w:r w:rsidR="007D4BEA">
        <w:rPr>
          <w:color w:val="000000"/>
          <w:lang w:val="pl-PL"/>
        </w:rPr>
        <w:t>o</w:t>
      </w:r>
      <w:r w:rsidR="007D4BEA" w:rsidRPr="007D4BEA">
        <w:rPr>
          <w:color w:val="000000"/>
        </w:rPr>
        <w:t>bszarów</w:t>
      </w:r>
      <w:r w:rsidR="007D4BEA">
        <w:rPr>
          <w:color w:val="000000"/>
          <w:lang w:val="pl-PL"/>
        </w:rPr>
        <w:t xml:space="preserve"> z</w:t>
      </w:r>
      <w:r w:rsidR="007D4BEA" w:rsidRPr="007D4BEA">
        <w:rPr>
          <w:color w:val="000000"/>
        </w:rPr>
        <w:t xml:space="preserve">degradowanych </w:t>
      </w:r>
    </w:p>
    <w:p w:rsidR="002209F8" w:rsidRDefault="007D4BEA" w:rsidP="007D4BEA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color w:val="000000"/>
        </w:rPr>
      </w:pPr>
      <w:r>
        <w:rPr>
          <w:color w:val="000000"/>
          <w:lang w:val="pl-PL"/>
        </w:rPr>
        <w:t>i</w:t>
      </w:r>
      <w:r w:rsidRPr="007D4BEA">
        <w:rPr>
          <w:color w:val="000000"/>
        </w:rPr>
        <w:t xml:space="preserve"> </w:t>
      </w:r>
      <w:r>
        <w:rPr>
          <w:color w:val="000000"/>
          <w:lang w:val="pl-PL"/>
        </w:rPr>
        <w:t>p</w:t>
      </w:r>
      <w:r w:rsidRPr="007D4BEA">
        <w:rPr>
          <w:color w:val="000000"/>
        </w:rPr>
        <w:t>oprzemys</w:t>
      </w:r>
      <w:r>
        <w:rPr>
          <w:color w:val="000000"/>
          <w:lang w:val="pl-PL"/>
        </w:rPr>
        <w:t>ł</w:t>
      </w:r>
      <w:r w:rsidRPr="007D4BEA">
        <w:rPr>
          <w:color w:val="000000"/>
        </w:rPr>
        <w:t xml:space="preserve">owych </w:t>
      </w:r>
      <w:r>
        <w:rPr>
          <w:color w:val="000000"/>
          <w:lang w:val="pl-PL"/>
        </w:rPr>
        <w:t>p</w:t>
      </w:r>
      <w:r w:rsidRPr="007D4BEA">
        <w:rPr>
          <w:color w:val="000000"/>
        </w:rPr>
        <w:t>o Cukrowni Ostrowite</w:t>
      </w:r>
      <w:bookmarkEnd w:id="0"/>
      <w:r>
        <w:rPr>
          <w:color w:val="000000"/>
          <w:lang w:val="pl-PL"/>
        </w:rPr>
        <w:t xml:space="preserve"> - </w:t>
      </w:r>
      <w:r w:rsidR="0013192D">
        <w:rPr>
          <w:color w:val="000000"/>
        </w:rPr>
        <w:t>Analiza ekonomiczna systemu ogrzewania</w:t>
      </w:r>
      <w:r>
        <w:rPr>
          <w:color w:val="000000"/>
          <w:lang w:val="pl-PL"/>
        </w:rPr>
        <w:t>.</w:t>
      </w:r>
      <w:r w:rsidR="0013192D">
        <w:rPr>
          <w:color w:val="000000"/>
        </w:rPr>
        <w:t xml:space="preserve"> 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color w:val="000000"/>
        </w:rPr>
        <w:sectPr w:rsidR="002209F8">
          <w:headerReference w:type="default" r:id="rId8"/>
          <w:footerReference w:type="default" r:id="rId9"/>
          <w:type w:val="continuous"/>
          <w:pgSz w:w="11907" w:h="16839"/>
          <w:pgMar w:top="1134" w:right="900" w:bottom="1417" w:left="900" w:header="567" w:footer="283" w:gutter="0"/>
          <w:cols w:space="708"/>
        </w:sectPr>
      </w:pPr>
      <w:r>
        <w:rPr>
          <w:color w:val="000000"/>
        </w:rPr>
        <w:t>Ostrowite, 22.02.2022</w:t>
      </w: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2"/>
        </w:rPr>
      </w:pPr>
      <w:r>
        <w:rPr>
          <w:color w:val="000000"/>
          <w:sz w:val="22"/>
        </w:rPr>
        <w:lastRenderedPageBreak/>
        <w:t>Spis treści: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2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1. Dane budynku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2. Zestawienie rocznego zapotrzebowania na energię użytkową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3. Dostępne nośniki energii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4. Warunki przyłączenia do sieci zewnętrznych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5. Zestawienie użytych cen jednostkowych na poszczególne paliwa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6. Opis systemów zapotrzebowania w energię do analizy porównawczej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7. Charakterystyka źródeł energii systemu ogrzewania i wentylacji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8. Charakterystyka źródeł energii systemu przygotowania ciepłej wody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9. Wykresy porównawcze zużycia nośników energii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10. Obliczenia optymalizacyjno-porównawcze kosztów eksploatacyjnych i inwestycyjnych systemu ogrzewania i wentylacji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11. Obliczenia optymalizacyjno-porównawcze kosztów eksploatacyjnych i inwestycyjnych systemu przygotowania ciepłej wody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12. Obliczenia op</w:t>
            </w:r>
            <w:r>
              <w:rPr>
                <w:color w:val="000000"/>
              </w:rPr>
              <w:t>tymalizacyjno-porównawcze dla wybranych systemów zapotrzebowania w energię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13. Wyniki analizy porównawczej i wybór systemu zaopatrzenia w energię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</w:rPr>
              <w:t>14. Zestawienie kosztów inwestycyjno - eksploatacyjnych za okres 10,00 lat</w:t>
            </w:r>
          </w:p>
        </w:tc>
      </w:tr>
    </w:tbl>
    <w:p w:rsidR="002209F8" w:rsidRDefault="002209F8">
      <w:pPr>
        <w:pStyle w:val="Normal"/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1. Dane budynku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>
        <w:rPr>
          <w:color w:val="000000"/>
          <w:sz w:val="20"/>
        </w:rPr>
        <w:t>1.1. Dane adresowe: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budynku: Gminny ośrodek kultury w Ostrowitem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Adres budynku: Ostrowite, Ostrowite  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Nazwa inwestora: Urząd Gminy Brzuze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Adres inwestora: Brzuze, Brzuze 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>
        <w:rPr>
          <w:color w:val="000000"/>
          <w:sz w:val="20"/>
        </w:rPr>
        <w:t>1.2. Dane geometryczne: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Przeznaczenie budynku: Użyteczności publicznej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Strefa klimatyczna: III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Stacja meteorologiczna: Mława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Powierzchnia zabudowy A</w:t>
            </w:r>
            <w:r>
              <w:rPr>
                <w:color w:val="000000"/>
                <w:position w:val="-5"/>
                <w:sz w:val="20"/>
              </w:rPr>
              <w:t>z</w:t>
            </w:r>
            <w:r>
              <w:rPr>
                <w:color w:val="000000"/>
                <w:sz w:val="20"/>
              </w:rPr>
              <w:t>=584,39 m</w:t>
            </w:r>
            <w:r>
              <w:rPr>
                <w:color w:val="000000"/>
                <w:position w:val="5"/>
                <w:sz w:val="20"/>
              </w:rPr>
              <w:t>2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Powierzchnia o regulowanej temperaturze A</w:t>
            </w:r>
            <w:r>
              <w:rPr>
                <w:color w:val="000000"/>
                <w:position w:val="-5"/>
                <w:sz w:val="20"/>
              </w:rPr>
              <w:t>f</w:t>
            </w:r>
            <w:r>
              <w:rPr>
                <w:color w:val="000000"/>
                <w:sz w:val="20"/>
              </w:rPr>
              <w:t>=224,76 m</w:t>
            </w:r>
            <w:r>
              <w:rPr>
                <w:color w:val="000000"/>
                <w:position w:val="5"/>
                <w:sz w:val="20"/>
              </w:rPr>
              <w:t>2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Powierzchnia netto A=591,15 m</w:t>
            </w:r>
            <w:r>
              <w:rPr>
                <w:color w:val="000000"/>
                <w:position w:val="5"/>
                <w:sz w:val="20"/>
              </w:rPr>
              <w:t>2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Kubatura po obrysie zewnętrznym V</w:t>
            </w:r>
            <w:r>
              <w:rPr>
                <w:color w:val="000000"/>
                <w:position w:val="-5"/>
                <w:sz w:val="20"/>
              </w:rPr>
              <w:t>e</w:t>
            </w:r>
            <w:r>
              <w:rPr>
                <w:color w:val="000000"/>
                <w:sz w:val="20"/>
              </w:rPr>
              <w:t>=1770,76 m</w:t>
            </w:r>
            <w:r>
              <w:rPr>
                <w:color w:val="000000"/>
                <w:position w:val="5"/>
                <w:sz w:val="20"/>
              </w:rPr>
              <w:t>3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position w:val="5"/>
                <w:sz w:val="20"/>
              </w:rPr>
            </w:pPr>
            <w:r>
              <w:rPr>
                <w:color w:val="000000"/>
                <w:sz w:val="20"/>
              </w:rPr>
              <w:t>Kubatura ogrzewana budynku V=784,47 m</w:t>
            </w:r>
            <w:r>
              <w:rPr>
                <w:color w:val="000000"/>
                <w:position w:val="5"/>
                <w:sz w:val="20"/>
              </w:rPr>
              <w:t>3</w:t>
            </w:r>
          </w:p>
        </w:tc>
      </w:tr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Liczba kondygnacji: 1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 Zestawienie rocznego zapotrzebowania na energię użytkową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2.1. Zestawienie rocznego zapotrzebowania na energię użytkową dla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2.1.1. System projektowany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5053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H,nd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053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2.1.2. System alternatywny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5053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H,nd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053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Węgiel kamienny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35005,9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2.2. Zestawienie rocznego zapotrzebowania na energię użytkową dla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2.2.1. System projektowany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5053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W,nd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053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1890,5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2.2.2. System alternatywny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5053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W,nd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053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Węgiel kamienny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1890,5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3. Dostępne nośniki energii</w:t>
      </w: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Wegiel EKOGROSZEK</w:t>
      </w: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4. Warunki przyłączenia do sieci zewnętrznych</w:t>
      </w: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Brak</w:t>
      </w: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5. Zestawienie użytych cen jednostkowych na poszczególne paliwa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5.1 Budynek projektowany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2021"/>
        <w:gridCol w:w="1011"/>
        <w:gridCol w:w="3032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</w:t>
            </w:r>
          </w:p>
        </w:tc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Uwagi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zł/kWh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5.2 Budynek z alternatywnymi źródłami energii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2021"/>
        <w:gridCol w:w="1011"/>
        <w:gridCol w:w="3032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</w:t>
            </w:r>
          </w:p>
        </w:tc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Uwagi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Węgiel kamienny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0,80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zł/kg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6. Opis systemów zapotrzebowania w energię do analizy porównawczej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3032"/>
        <w:gridCol w:w="3032"/>
      </w:tblGrid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systemu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Wariant projektowany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Wariant alternatywny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System ogrzewania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TAK, Źródło 'Nowe źródło ogrzewania' o udziale procentowym 100,00 % na paliwo Miejscowe wytwarzanie energii w budynku - Energia słoneczna o wH=0,00, typu Pompy ciepła powietrze/woda, sprężarkowe, napędzane elektrycznie (55/45</w:t>
            </w:r>
            <w:r>
              <w:rPr>
                <w:color w:val="000000"/>
                <w:position w:val="4"/>
                <w:sz w:val="16"/>
              </w:rPr>
              <w:t>o</w:t>
            </w:r>
            <w:r>
              <w:rPr>
                <w:color w:val="000000"/>
                <w:sz w:val="16"/>
              </w:rPr>
              <w:t xml:space="preserve">C) o sprawności wytwarzania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>H</w:t>
            </w:r>
            <w:r>
              <w:rPr>
                <w:color w:val="000000"/>
                <w:sz w:val="16"/>
              </w:rPr>
              <w:t xml:space="preserve">,g=2,60, Elektryczne grzejniki bezpośrednie: konwektorowe, płaszczyznowe i promiennikowe z regulatorem proporcjonalnym P o sprawności regulacji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H,e=0,91, Źródło ciepła w pomieszczeniu (ogrzewanie elektryczne, piec kaflowy, kominek) o sprawności przesyłu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H,d=1,00, System ogrzewania bez zasobnika ciepła o sprawności akumulacji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>H,s=1,00.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TAK, Źródło o udziale procentowym 100,00 % na paliwo Miejscowe wytwarzanie energii w budynku - Energia słoneczna, typu Pompy ciepła powietrze/woda, sprężarkowe, napędzane e</w:t>
            </w:r>
            <w:r>
              <w:rPr>
                <w:color w:val="000000"/>
                <w:sz w:val="16"/>
              </w:rPr>
              <w:t>lektrycznie (55/45</w:t>
            </w:r>
            <w:r>
              <w:rPr>
                <w:color w:val="000000"/>
                <w:position w:val="4"/>
                <w:sz w:val="16"/>
              </w:rPr>
              <w:t>o</w:t>
            </w:r>
            <w:r>
              <w:rPr>
                <w:color w:val="000000"/>
                <w:sz w:val="16"/>
              </w:rPr>
              <w:t xml:space="preserve">C) o sprawności wytwarzania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H,g=2,60, Elektryczne grzejniki bezpośrednie: konwektorowe, płaszczyznowe i promiennikowe z regulatorem proporcjonalnym P o sprawności regulacji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H,e=0,91, Źródło ciepła w pomieszczeniu (ogrzewanie elektryczne, piec kaflowy, kominek) o sprawności przesyłu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H,d=1,00, System ogrzewania bez zasobnika ciepła o sprawności akumulacji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>H,s=1,00.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System wentylacji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TAK; wentylacja grawitacyjna o strumieniach powietrza Vve1=0,00 m</w:t>
            </w:r>
            <w:r>
              <w:rPr>
                <w:color w:val="000000"/>
                <w:position w:val="4"/>
                <w:sz w:val="16"/>
              </w:rPr>
              <w:t>3</w:t>
            </w:r>
            <w:r>
              <w:rPr>
                <w:color w:val="000000"/>
                <w:sz w:val="16"/>
              </w:rPr>
              <w:t>/h, Vve2=0,00 m</w:t>
            </w:r>
            <w:r>
              <w:rPr>
                <w:color w:val="000000"/>
                <w:position w:val="4"/>
                <w:sz w:val="16"/>
              </w:rPr>
              <w:t>3</w:t>
            </w:r>
            <w:r>
              <w:rPr>
                <w:color w:val="000000"/>
                <w:sz w:val="16"/>
              </w:rPr>
              <w:t>/h.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TAK; wentylacja grawitacyjna o strumieniach powietrza Vve1=0,00 m</w:t>
            </w:r>
            <w:r>
              <w:rPr>
                <w:color w:val="000000"/>
                <w:position w:val="4"/>
                <w:sz w:val="16"/>
              </w:rPr>
              <w:t>3</w:t>
            </w:r>
            <w:r>
              <w:rPr>
                <w:color w:val="000000"/>
                <w:sz w:val="16"/>
              </w:rPr>
              <w:t>/h, Vve2=0,00 m</w:t>
            </w:r>
            <w:r>
              <w:rPr>
                <w:color w:val="000000"/>
                <w:position w:val="4"/>
                <w:sz w:val="16"/>
              </w:rPr>
              <w:t>3</w:t>
            </w:r>
            <w:r>
              <w:rPr>
                <w:color w:val="000000"/>
                <w:sz w:val="16"/>
              </w:rPr>
              <w:t>/h.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System ciepłej wody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TAK, Źródło 'Nowe źródło ciepłej wody' o udziale procentowym </w:t>
            </w:r>
            <w:r>
              <w:rPr>
                <w:color w:val="000000"/>
                <w:sz w:val="16"/>
              </w:rPr>
              <w:t xml:space="preserve">100,00 % na paliwo Miejscowe wytwarzanie energii w budynku - Energia słoneczna o wW=0,00, typu Pompa ciepła typu powietrze/woda, sprężarkowa, napędzana elektrycznie o sprawności wytwarzania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W,g=2,60, Centr. podgrz. wody — sys. z obiegami cyrkulacyjnymi z </w:t>
            </w:r>
            <w:r>
              <w:rPr>
                <w:color w:val="000000"/>
                <w:sz w:val="16"/>
              </w:rPr>
              <w:t xml:space="preserve">pionami instalacyjnymi nieizolowanymi i izolowanymi przew. rozprowadzającymi o sprawności przesyłu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 xml:space="preserve">W,d=0,60, Zasobnik ciepłej wody użytkowej wyprodukowany po 2005 r. o sprawności akumulacji </w:t>
            </w:r>
            <w:r>
              <w:rPr>
                <w:rFonts w:ascii="Symbol" w:eastAsia="Symbol" w:hAnsi="Symbol" w:cs="Symbol"/>
                <w:color w:val="000000"/>
                <w:sz w:val="16"/>
              </w:rPr>
              <w:t></w:t>
            </w:r>
            <w:r>
              <w:rPr>
                <w:color w:val="000000"/>
                <w:sz w:val="16"/>
              </w:rPr>
              <w:t>W,s=0,85.</w:t>
            </w:r>
          </w:p>
        </w:tc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NIE.</w:t>
            </w:r>
          </w:p>
        </w:tc>
      </w:tr>
    </w:tbl>
    <w:p w:rsidR="002209F8" w:rsidRDefault="002209F8">
      <w:pPr>
        <w:pStyle w:val="Normal"/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7. Charakterystyka źródeł energii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7.1. Budynek projektowany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209F8"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</w:t>
            </w:r>
            <w:r>
              <w:rPr>
                <w:b/>
                <w:color w:val="000000"/>
                <w:position w:val="-5"/>
                <w:sz w:val="20"/>
              </w:rPr>
              <w:t>H,tot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b/>
                <w:color w:val="000000"/>
                <w:sz w:val="20"/>
              </w:rPr>
              <w:t>H</w:t>
            </w:r>
            <w:r>
              <w:rPr>
                <w:b/>
                <w:color w:val="000000"/>
                <w:position w:val="-5"/>
                <w:sz w:val="20"/>
              </w:rPr>
              <w:t>u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K,H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Zużycie paliwa B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</w:tr>
      <w:tr w:rsidR="002209F8"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2,37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kWh/kWh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14795,4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14795,4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kWh/rok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16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7.2. Budynek z alternatywnymi źródłami energii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209F8"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</w:t>
            </w:r>
            <w:r>
              <w:rPr>
                <w:b/>
                <w:color w:val="000000"/>
                <w:position w:val="-5"/>
                <w:sz w:val="20"/>
              </w:rPr>
              <w:t>H,tot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b/>
                <w:color w:val="000000"/>
                <w:sz w:val="20"/>
              </w:rPr>
              <w:t>H</w:t>
            </w:r>
            <w:r>
              <w:rPr>
                <w:b/>
                <w:color w:val="000000"/>
                <w:position w:val="-5"/>
                <w:sz w:val="20"/>
              </w:rPr>
              <w:t>u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K,H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Zużycie paliwa B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</w:tr>
      <w:tr w:rsidR="002209F8"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Węgiel kamienny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2,37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7,70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kWh/kg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14795,4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1921,5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kg/rok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16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>
        <w:rPr>
          <w:color w:val="000000"/>
          <w:sz w:val="20"/>
        </w:rPr>
        <w:t>7.3. Porównanie zużycia nośników energii dla budynku projektowanego i źródła alternatywnego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5715000" cy="4762500"/>
                  <wp:effectExtent l="0" t="0" r="0" b="0"/>
                  <wp:docPr id="2" name="_tx_id_2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476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>
        <w:rPr>
          <w:color w:val="000000"/>
          <w:sz w:val="20"/>
        </w:rPr>
        <w:t>Wykres porównawczy zużycia nośników energii dla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8. Charakterystyka źródeł energii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8.1. Bud</w:t>
      </w:r>
      <w:r>
        <w:rPr>
          <w:color w:val="000000"/>
        </w:rPr>
        <w:t>ynek projektowany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209F8"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</w:t>
            </w:r>
            <w:r>
              <w:rPr>
                <w:b/>
                <w:color w:val="000000"/>
                <w:position w:val="-5"/>
                <w:sz w:val="20"/>
              </w:rPr>
              <w:t>W,tot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b/>
                <w:color w:val="000000"/>
                <w:sz w:val="20"/>
              </w:rPr>
              <w:t>H</w:t>
            </w:r>
            <w:r>
              <w:rPr>
                <w:b/>
                <w:color w:val="000000"/>
                <w:position w:val="-5"/>
                <w:sz w:val="20"/>
              </w:rPr>
              <w:t>u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K,W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Zużycie paliwa B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</w:tr>
      <w:tr w:rsidR="002209F8"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Energia słoneczna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1,33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kWh/kWh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1425,7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1425,7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kWh/rok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16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8.2. Budynek z alternatywnymi źródłami energii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2209F8">
        <w:tc>
          <w:tcPr>
            <w:tcW w:w="303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Rodzaj paliwa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Udział %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</w:t>
            </w:r>
            <w:r>
              <w:rPr>
                <w:b/>
                <w:color w:val="000000"/>
                <w:position w:val="-5"/>
                <w:sz w:val="20"/>
              </w:rPr>
              <w:t>W,tot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-5"/>
                <w:sz w:val="20"/>
              </w:rPr>
            </w:pPr>
            <w:r>
              <w:rPr>
                <w:b/>
                <w:color w:val="000000"/>
                <w:sz w:val="20"/>
              </w:rPr>
              <w:t>H</w:t>
            </w:r>
            <w:r>
              <w:rPr>
                <w:b/>
                <w:color w:val="000000"/>
                <w:position w:val="-5"/>
                <w:sz w:val="20"/>
              </w:rPr>
              <w:t>u</w:t>
            </w:r>
          </w:p>
        </w:tc>
        <w:tc>
          <w:tcPr>
            <w:tcW w:w="808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Q</w:t>
            </w:r>
            <w:r>
              <w:rPr>
                <w:b/>
                <w:color w:val="000000"/>
                <w:position w:val="-5"/>
                <w:sz w:val="20"/>
              </w:rPr>
              <w:t>K,W</w:t>
            </w:r>
            <w:r>
              <w:rPr>
                <w:b/>
                <w:color w:val="000000"/>
                <w:sz w:val="20"/>
              </w:rPr>
              <w:t xml:space="preserve"> [kWh/rok]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Zużycie paliwa B</w:t>
            </w:r>
          </w:p>
        </w:tc>
        <w:tc>
          <w:tcPr>
            <w:tcW w:w="809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</w:t>
            </w:r>
          </w:p>
        </w:tc>
      </w:tr>
      <w:tr w:rsidR="002209F8">
        <w:tc>
          <w:tcPr>
            <w:tcW w:w="303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Miejscowe wytwarzanie energii w budynku - Węgiel kamienny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1,33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7,70</w:t>
            </w:r>
          </w:p>
        </w:tc>
        <w:tc>
          <w:tcPr>
            <w:tcW w:w="808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kWh/kg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1425,7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185,2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kg/rok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16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>
        <w:rPr>
          <w:color w:val="000000"/>
          <w:sz w:val="20"/>
        </w:rPr>
        <w:t>8.3. Porównanie zużycia nośników energii dla budynku projektowanego i źródła alternatywnego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5715000" cy="4762500"/>
                  <wp:effectExtent l="0" t="0" r="0" b="0"/>
                  <wp:docPr id="3" name="_tx_id_3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476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  <w:r>
        <w:rPr>
          <w:color w:val="000000"/>
          <w:sz w:val="20"/>
        </w:rPr>
        <w:t>Wykres porównawczy zużycia nośników energii dla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9. Wykresy porównawcze zużycia nośników energii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5715000" cy="3810000"/>
                  <wp:effectExtent l="0" t="0" r="0" b="0"/>
                  <wp:docPr id="4" name="_tx_id_4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 xml:space="preserve">Wykres zużycia nośników </w:t>
      </w:r>
      <w:r>
        <w:rPr>
          <w:color w:val="000000"/>
        </w:rPr>
        <w:t>energii dla wszystkich systemów w budynku projektowanym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5715000" cy="3810000"/>
                  <wp:effectExtent l="0" t="0" r="0" b="0"/>
                  <wp:docPr id="5" name="_tx_id_5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zużycia nośników energii dla wszystkich systemów w budynku ze źródłami alternatywnymi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5715000" cy="5715000"/>
                  <wp:effectExtent l="0" t="0" r="0" b="0"/>
                  <wp:docPr id="6" name="_tx_id_6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71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  <w:sectPr w:rsidR="002209F8">
          <w:pgSz w:w="11907" w:h="16839"/>
          <w:pgMar w:top="1134" w:right="900" w:bottom="1417" w:left="900" w:header="567" w:footer="283" w:gutter="0"/>
          <w:cols w:space="708"/>
        </w:sectPr>
      </w:pPr>
      <w:r>
        <w:rPr>
          <w:color w:val="000000"/>
        </w:rPr>
        <w:t>Wykres porównawczy zużycia nośników energii dla wszystkich systemów w budynku</w:t>
      </w: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10. Obliczenia optymalizacyjno-porównawcze kosztów eksploatacyjnych i inwestycyjnych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Budynek projektowany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Dodatkowe informacje: ...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eksploatacyjne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Zużycie paliwa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Uwagi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Miejscowe wytwarzanie energii w budynku - Energia słoneczna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14795,40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kWh/rok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position w:val="-4"/>
                <w:sz w:val="16"/>
              </w:rPr>
            </w:pPr>
            <w:r>
              <w:rPr>
                <w:color w:val="000000"/>
                <w:sz w:val="16"/>
              </w:rPr>
              <w:t>Opłaty stałe O</w:t>
            </w:r>
            <w:r>
              <w:rPr>
                <w:color w:val="000000"/>
                <w:position w:val="-4"/>
                <w:sz w:val="16"/>
              </w:rPr>
              <w:t>m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Abonament Ab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0,00</w:t>
            </w:r>
          </w:p>
        </w:tc>
        <w:tc>
          <w:tcPr>
            <w:tcW w:w="2021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tcBorders>
              <w:top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</w:t>
            </w:r>
            <w:r>
              <w:rPr>
                <w:b/>
                <w:color w:val="000000"/>
                <w:position w:val="-4"/>
                <w:sz w:val="16"/>
              </w:rPr>
              <w:t>H,E</w:t>
            </w:r>
            <w:r>
              <w:rPr>
                <w:b/>
                <w:color w:val="000000"/>
                <w:sz w:val="16"/>
              </w:rPr>
              <w:t>= 12∙O</w:t>
            </w:r>
            <w:r>
              <w:rPr>
                <w:b/>
                <w:color w:val="000000"/>
                <w:position w:val="-4"/>
                <w:sz w:val="16"/>
              </w:rPr>
              <w:t>m</w:t>
            </w:r>
            <w:r>
              <w:rPr>
                <w:b/>
                <w:color w:val="000000"/>
                <w:sz w:val="16"/>
              </w:rPr>
              <w:t xml:space="preserve"> + 12∙Ab + </w:t>
            </w:r>
            <w:r>
              <w:rPr>
                <w:rFonts w:ascii="Symbol" w:eastAsia="Symbol" w:hAnsi="Symbol" w:cs="Symbol"/>
                <w:b/>
                <w:color w:val="000000"/>
                <w:sz w:val="16"/>
              </w:rPr>
              <w:t></w:t>
            </w:r>
            <w:r>
              <w:rPr>
                <w:b/>
                <w:color w:val="000000"/>
                <w:sz w:val="16"/>
              </w:rPr>
              <w:t>B∙Cena jedn.=</w:t>
            </w: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2021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inwestycyjne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Ilość robót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Cena 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 robót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Uzasadnienie przyjętych kosztów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dok Dokumentacja projektowa modernizacji instalacji wewnętrznych ogrzewania i ciepłej wody użytkowej z analizą doradczo-projektową wymiany źródła ciepła i możliwości zastosowania OZE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1000,00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inwestycyjne K</w:t>
            </w:r>
            <w:r>
              <w:rPr>
                <w:b/>
                <w:color w:val="000000"/>
                <w:position w:val="-4"/>
                <w:sz w:val="16"/>
              </w:rPr>
              <w:t>H,I</w:t>
            </w:r>
            <w:r>
              <w:rPr>
                <w:b/>
                <w:color w:val="000000"/>
                <w:sz w:val="16"/>
              </w:rPr>
              <w:t>=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Budynek z alternatywnymi źródłami energii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Dodatkowe informacje: ...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eksploatacyjne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Zużycie paliwa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Uwagi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Miejscowe wytwarzanie energii w budynku - Węgiel kamienny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1921,48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kg/rok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1537,18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position w:val="-4"/>
                <w:sz w:val="16"/>
              </w:rPr>
            </w:pPr>
            <w:r>
              <w:rPr>
                <w:color w:val="000000"/>
                <w:sz w:val="16"/>
              </w:rPr>
              <w:t>Opłaty stałe O</w:t>
            </w:r>
            <w:r>
              <w:rPr>
                <w:color w:val="000000"/>
                <w:position w:val="-4"/>
                <w:sz w:val="16"/>
              </w:rPr>
              <w:t>m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Abonament Ab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1537,18</w:t>
            </w:r>
          </w:p>
        </w:tc>
        <w:tc>
          <w:tcPr>
            <w:tcW w:w="2021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tcBorders>
              <w:top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</w:t>
            </w:r>
            <w:r>
              <w:rPr>
                <w:b/>
                <w:color w:val="000000"/>
                <w:position w:val="-4"/>
                <w:sz w:val="16"/>
              </w:rPr>
              <w:t>H,E</w:t>
            </w:r>
            <w:r>
              <w:rPr>
                <w:b/>
                <w:color w:val="000000"/>
                <w:sz w:val="16"/>
              </w:rPr>
              <w:t>= 12∙O</w:t>
            </w:r>
            <w:r>
              <w:rPr>
                <w:b/>
                <w:color w:val="000000"/>
                <w:position w:val="-4"/>
                <w:sz w:val="16"/>
              </w:rPr>
              <w:t>m</w:t>
            </w:r>
            <w:r>
              <w:rPr>
                <w:b/>
                <w:color w:val="000000"/>
                <w:sz w:val="16"/>
              </w:rPr>
              <w:t xml:space="preserve"> + 12∙Ab + </w:t>
            </w:r>
            <w:r>
              <w:rPr>
                <w:rFonts w:ascii="Symbol" w:eastAsia="Symbol" w:hAnsi="Symbol" w:cs="Symbol"/>
                <w:b/>
                <w:color w:val="000000"/>
                <w:sz w:val="16"/>
              </w:rPr>
              <w:t></w:t>
            </w:r>
            <w:r>
              <w:rPr>
                <w:b/>
                <w:color w:val="000000"/>
                <w:sz w:val="16"/>
              </w:rPr>
              <w:t>B∙Cena jedn.=</w:t>
            </w: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2021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inwestycyjne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Ilość robót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Cena 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 robót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Uzasadnienie przyjętych kosztów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dok Dokumentacja projektowa modernizacji instalacji wewnętrznych ogrzewania i ciepłej wody użytkowej z analizą doradczo-projektową wymiany źródła ciepła i możliwości zastosowania OZE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1000,00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inwestycyjne K</w:t>
            </w:r>
            <w:r>
              <w:rPr>
                <w:b/>
                <w:color w:val="000000"/>
                <w:position w:val="-4"/>
                <w:sz w:val="16"/>
              </w:rPr>
              <w:t>H,I</w:t>
            </w:r>
            <w:r>
              <w:rPr>
                <w:b/>
                <w:color w:val="000000"/>
                <w:sz w:val="16"/>
              </w:rPr>
              <w:t>=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  <w:sz w:val="16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7" name="_tx_id_7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porównawczy kosztów inwestycyjnych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8" name="_tx_id_8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porównawczy kosztów eksploatacyjnych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11. Obliczenia optymalizacyjno-porównawcze kosztów eksploatacyjnych i inwestycyjnych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Budynek projektowany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Dodatkowe informacje: ...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eksploatacyjne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Zużycie paliwa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Uwagi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Miejscowe wytwarzanie energii w budynku - Energia słoneczna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1425,73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kWh/rok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position w:val="-4"/>
                <w:sz w:val="16"/>
              </w:rPr>
            </w:pPr>
            <w:r>
              <w:rPr>
                <w:color w:val="000000"/>
                <w:sz w:val="16"/>
              </w:rPr>
              <w:t>Opłaty stałe O</w:t>
            </w:r>
            <w:r>
              <w:rPr>
                <w:color w:val="000000"/>
                <w:position w:val="-4"/>
                <w:sz w:val="16"/>
              </w:rPr>
              <w:t>m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Abonament Ab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0,00</w:t>
            </w:r>
          </w:p>
        </w:tc>
        <w:tc>
          <w:tcPr>
            <w:tcW w:w="2021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tcBorders>
              <w:top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</w:t>
            </w:r>
            <w:r>
              <w:rPr>
                <w:b/>
                <w:color w:val="000000"/>
                <w:position w:val="-4"/>
                <w:sz w:val="16"/>
              </w:rPr>
              <w:t>W,E</w:t>
            </w:r>
            <w:r>
              <w:rPr>
                <w:b/>
                <w:color w:val="000000"/>
                <w:sz w:val="16"/>
              </w:rPr>
              <w:t>= 12∙O</w:t>
            </w:r>
            <w:r>
              <w:rPr>
                <w:b/>
                <w:color w:val="000000"/>
                <w:position w:val="-4"/>
                <w:sz w:val="16"/>
              </w:rPr>
              <w:t>m</w:t>
            </w:r>
            <w:r>
              <w:rPr>
                <w:b/>
                <w:color w:val="000000"/>
                <w:sz w:val="16"/>
              </w:rPr>
              <w:t xml:space="preserve"> + 12∙Ab + </w:t>
            </w:r>
            <w:r>
              <w:rPr>
                <w:rFonts w:ascii="Symbol" w:eastAsia="Symbol" w:hAnsi="Symbol" w:cs="Symbol"/>
                <w:b/>
                <w:color w:val="000000"/>
                <w:sz w:val="16"/>
              </w:rPr>
              <w:t></w:t>
            </w:r>
            <w:r>
              <w:rPr>
                <w:b/>
                <w:color w:val="000000"/>
                <w:sz w:val="16"/>
              </w:rPr>
              <w:t>B∙Cena jedn.=</w:t>
            </w: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2021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inwestycyjne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Ilość robót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Cena 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 robót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Uzasadnienie przyjętych kosztów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dok Dokumentacja projektowa modernizacji instalacji wewnętrznych ogrzewania i ciepłej wody użytkowej z analizą doradczo-projektową wymiany źródła ciepła i możliwości zastosowania OZE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1000,00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inwestycyjne K</w:t>
            </w:r>
            <w:r>
              <w:rPr>
                <w:b/>
                <w:color w:val="000000"/>
                <w:position w:val="-4"/>
                <w:sz w:val="16"/>
              </w:rPr>
              <w:t>W,I</w:t>
            </w:r>
            <w:r>
              <w:rPr>
                <w:b/>
                <w:color w:val="000000"/>
                <w:sz w:val="16"/>
              </w:rPr>
              <w:t>=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Budynek z alternatywnymi źródłami energii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Dodatkowe informacje: ...</w:t>
            </w: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eksploatacyjne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Zużycie paliwa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Uwagi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Miejscowe wytwarzanie energii w budynku - Węgiel kamienny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185,16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kg/rok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148,13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position w:val="-4"/>
                <w:sz w:val="16"/>
              </w:rPr>
            </w:pPr>
            <w:r>
              <w:rPr>
                <w:color w:val="000000"/>
                <w:sz w:val="16"/>
              </w:rPr>
              <w:t>Opłaty stałe O</w:t>
            </w:r>
            <w:r>
              <w:rPr>
                <w:color w:val="000000"/>
                <w:position w:val="-4"/>
                <w:sz w:val="16"/>
              </w:rPr>
              <w:t>m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Abonament Ab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zł/m-c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...</w:t>
            </w:r>
          </w:p>
        </w:tc>
      </w:tr>
      <w:tr w:rsidR="002209F8">
        <w:tc>
          <w:tcPr>
            <w:tcW w:w="5054" w:type="dxa"/>
            <w:gridSpan w:val="3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148,13</w:t>
            </w:r>
          </w:p>
        </w:tc>
        <w:tc>
          <w:tcPr>
            <w:tcW w:w="2021" w:type="dxa"/>
            <w:vMerge w:val="restart"/>
            <w:tcBorders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tcBorders>
              <w:top w:val="nil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</w:t>
            </w:r>
            <w:r>
              <w:rPr>
                <w:b/>
                <w:color w:val="000000"/>
                <w:position w:val="-4"/>
                <w:sz w:val="16"/>
              </w:rPr>
              <w:t>W,E</w:t>
            </w:r>
            <w:r>
              <w:rPr>
                <w:b/>
                <w:color w:val="000000"/>
                <w:sz w:val="16"/>
              </w:rPr>
              <w:t>= 12∙O</w:t>
            </w:r>
            <w:r>
              <w:rPr>
                <w:b/>
                <w:color w:val="000000"/>
                <w:position w:val="-4"/>
                <w:sz w:val="16"/>
              </w:rPr>
              <w:t>m</w:t>
            </w:r>
            <w:r>
              <w:rPr>
                <w:b/>
                <w:color w:val="000000"/>
                <w:sz w:val="16"/>
              </w:rPr>
              <w:t xml:space="preserve"> + 12∙Ab + </w:t>
            </w:r>
            <w:r>
              <w:rPr>
                <w:rFonts w:ascii="Symbol" w:eastAsia="Symbol" w:hAnsi="Symbol" w:cs="Symbol"/>
                <w:b/>
                <w:color w:val="000000"/>
                <w:sz w:val="16"/>
              </w:rPr>
              <w:t></w:t>
            </w:r>
            <w:r>
              <w:rPr>
                <w:b/>
                <w:color w:val="000000"/>
                <w:sz w:val="16"/>
              </w:rPr>
              <w:t>B∙Cena jedn.=</w:t>
            </w: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1516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  <w:tc>
          <w:tcPr>
            <w:tcW w:w="2021" w:type="dxa"/>
            <w:vMerge/>
            <w:tcBorders>
              <w:top w:val="nil"/>
              <w:bottom w:val="nil"/>
            </w:tcBorders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</w:pPr>
          </w:p>
        </w:tc>
      </w:tr>
      <w:tr w:rsidR="002209F8">
        <w:tc>
          <w:tcPr>
            <w:tcW w:w="10107" w:type="dxa"/>
            <w:gridSpan w:val="6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Koszty inwestycyjne</w:t>
            </w:r>
          </w:p>
        </w:tc>
      </w:tr>
      <w:tr w:rsidR="002209F8">
        <w:tc>
          <w:tcPr>
            <w:tcW w:w="101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Lp.</w:t>
            </w:r>
          </w:p>
        </w:tc>
        <w:tc>
          <w:tcPr>
            <w:tcW w:w="252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Rodzaj robót</w:t>
            </w:r>
          </w:p>
        </w:tc>
        <w:tc>
          <w:tcPr>
            <w:tcW w:w="1517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Ilość robót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Cena jedn.</w:t>
            </w:r>
          </w:p>
        </w:tc>
        <w:tc>
          <w:tcPr>
            <w:tcW w:w="1516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Koszty robót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Uzasadnienie przyjętych kosztów</w:t>
            </w:r>
          </w:p>
        </w:tc>
      </w:tr>
      <w:tr w:rsidR="002209F8">
        <w:tc>
          <w:tcPr>
            <w:tcW w:w="101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252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dok Dokumentacja projektowa modernizacji instalacji wewnętrznych ogrzewania i ciepłej wody użytkowej z analizą doradczo-projektową wymiany źródła ciepła i możliwości zastosowania OZE</w:t>
            </w:r>
          </w:p>
        </w:tc>
        <w:tc>
          <w:tcPr>
            <w:tcW w:w="151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1000,00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16"/>
              </w:rPr>
            </w:pPr>
          </w:p>
        </w:tc>
      </w:tr>
      <w:tr w:rsidR="002209F8">
        <w:tc>
          <w:tcPr>
            <w:tcW w:w="5054" w:type="dxa"/>
            <w:gridSpan w:val="3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right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Całkowite koszty inwestycyjne K</w:t>
            </w:r>
            <w:r>
              <w:rPr>
                <w:b/>
                <w:color w:val="000000"/>
                <w:position w:val="-4"/>
                <w:sz w:val="16"/>
              </w:rPr>
              <w:t>W,I</w:t>
            </w:r>
            <w:r>
              <w:rPr>
                <w:b/>
                <w:color w:val="000000"/>
                <w:sz w:val="16"/>
              </w:rPr>
              <w:t>=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zł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1230,00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16"/>
              </w:rPr>
            </w:pP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  <w:sz w:val="16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9" name="_tx_id_9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porównawczy kosztów inwestycyjnych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10" name="_tx_id_10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porównawczy kosztów eksploatacyjnych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12. Obliczenia optymalizacyjno-porównawcze dla wybranych systemów zapotrzebowania w energię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11" name="_tx_id_11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kosztów inwestycyjnych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333750"/>
                  <wp:effectExtent l="0" t="0" r="0" b="0"/>
                  <wp:docPr id="12" name="_tx_id_12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33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kosztów eksploatacyjnych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13. Wyniki analizy porównawczej i wybór systemu zaopatrzenia w energię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13.1 Analiza systemu ogrzewania i wentylacji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Projektowany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Alternatywny</w:t>
            </w:r>
          </w:p>
        </w:tc>
      </w:tr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eksploatacyjne K</w:t>
            </w:r>
            <w:r>
              <w:rPr>
                <w:b/>
                <w:color w:val="000000"/>
                <w:position w:val="-5"/>
                <w:sz w:val="20"/>
              </w:rPr>
              <w:t>H,E</w:t>
            </w:r>
            <w:r>
              <w:rPr>
                <w:b/>
                <w:color w:val="000000"/>
                <w:sz w:val="20"/>
              </w:rPr>
              <w:t xml:space="preserve"> zł/rok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1537,18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Procentowe zmniejszenie kosztów eksploatacyjnych %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...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inwestycyjne K</w:t>
            </w:r>
            <w:r>
              <w:rPr>
                <w:b/>
                <w:color w:val="000000"/>
                <w:position w:val="-5"/>
                <w:sz w:val="20"/>
              </w:rPr>
              <w:t>H,I</w:t>
            </w:r>
            <w:r>
              <w:rPr>
                <w:b/>
                <w:color w:val="000000"/>
                <w:sz w:val="20"/>
              </w:rPr>
              <w:t xml:space="preserve"> zł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1230,00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1230,00</w:t>
            </w:r>
          </w:p>
        </w:tc>
      </w:tr>
      <w:tr w:rsidR="002209F8">
        <w:tblPrEx>
          <w:tblBorders>
            <w:bottom w:val="none" w:sz="0" w:space="0" w:color="auto"/>
          </w:tblBorders>
        </w:tblPrEx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Procentowe zmniejszenie kosztów inwestycyjnych %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</w:tr>
      <w:tr w:rsidR="002209F8">
        <w:tblPrEx>
          <w:tblBorders>
            <w:bottom w:val="none" w:sz="0" w:space="0" w:color="auto"/>
          </w:tblBorders>
        </w:tblPrEx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eksploatacyjne w przeliczeniu na powierzchnię zł/m</w:t>
            </w:r>
            <w:r>
              <w:rPr>
                <w:b/>
                <w:color w:val="000000"/>
                <w:position w:val="5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rok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6,84</w:t>
            </w:r>
          </w:p>
        </w:tc>
      </w:tr>
      <w:tr w:rsidR="002209F8">
        <w:tblPrEx>
          <w:tblBorders>
            <w:bottom w:val="none" w:sz="0" w:space="0" w:color="auto"/>
          </w:tblBorders>
        </w:tblPrEx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5"/>
                <w:sz w:val="20"/>
              </w:rPr>
            </w:pPr>
            <w:r>
              <w:rPr>
                <w:b/>
                <w:color w:val="000000"/>
                <w:sz w:val="20"/>
              </w:rPr>
              <w:t>Koszty inwestycyjne w przeliczeniu na powierzchnię zł/m</w:t>
            </w:r>
            <w:r>
              <w:rPr>
                <w:b/>
                <w:color w:val="000000"/>
                <w:position w:val="5"/>
                <w:sz w:val="20"/>
              </w:rPr>
              <w:t>2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5,47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5,47</w:t>
            </w:r>
          </w:p>
        </w:tc>
      </w:tr>
      <w:tr w:rsidR="002209F8">
        <w:tblPrEx>
          <w:tblBorders>
            <w:bottom w:val="none" w:sz="0" w:space="0" w:color="auto"/>
          </w:tblBorders>
        </w:tblPrEx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Roczne oszczędności kosztów </w:t>
            </w: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</w:t>
            </w:r>
            <w:r>
              <w:rPr>
                <w:b/>
                <w:color w:val="000000"/>
                <w:sz w:val="20"/>
              </w:rPr>
              <w:t>Or zł/rok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-1537,18</w:t>
            </w:r>
          </w:p>
        </w:tc>
      </w:tr>
      <w:tr w:rsidR="002209F8">
        <w:tblPrEx>
          <w:tblBorders>
            <w:bottom w:val="none" w:sz="0" w:space="0" w:color="auto"/>
          </w:tblBorders>
        </w:tblPrEx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Prosty czas zwrotu inwestycji w źródła alternatywne SPBT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</w:tr>
      <w:tr w:rsidR="002209F8">
        <w:tblPrEx>
          <w:tblBorders>
            <w:bottom w:val="none" w:sz="0" w:space="0" w:color="auto"/>
          </w:tblBorders>
        </w:tblPrEx>
        <w:tc>
          <w:tcPr>
            <w:tcW w:w="10107" w:type="dxa"/>
            <w:gridSpan w:val="3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WYNIKI ANALIZY: Zastosowanie źródeł alternatywnych jest nie korzystne pod względem eksploatacyjnym  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13.2 Analiza systemu przygotowania ciepłej wody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Projektowany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Alternatywny</w:t>
            </w:r>
          </w:p>
        </w:tc>
      </w:tr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eksploatacyjne K</w:t>
            </w:r>
            <w:r>
              <w:rPr>
                <w:b/>
                <w:color w:val="000000"/>
                <w:position w:val="-5"/>
                <w:sz w:val="20"/>
              </w:rPr>
              <w:t>W,E</w:t>
            </w:r>
            <w:r>
              <w:rPr>
                <w:b/>
                <w:color w:val="000000"/>
                <w:sz w:val="20"/>
              </w:rPr>
              <w:t xml:space="preserve"> zł/rok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148,13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Procentowe zmniejszenie kosztów eksploatacyjnych %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...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inwestycyjne K</w:t>
            </w:r>
            <w:r>
              <w:rPr>
                <w:b/>
                <w:color w:val="000000"/>
                <w:position w:val="-5"/>
                <w:sz w:val="20"/>
              </w:rPr>
              <w:t>W,I</w:t>
            </w:r>
            <w:r>
              <w:rPr>
                <w:b/>
                <w:color w:val="000000"/>
                <w:sz w:val="20"/>
              </w:rPr>
              <w:t xml:space="preserve"> zł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1230,00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1230,00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Procentowe zmniejszenie kosztów inwestycyjnych %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eksploatacyjne w przeliczeniu na powierzchnię zł/m</w:t>
            </w:r>
            <w:r>
              <w:rPr>
                <w:b/>
                <w:color w:val="000000"/>
                <w:position w:val="5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rok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0,66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position w:val="5"/>
                <w:sz w:val="20"/>
              </w:rPr>
            </w:pPr>
            <w:r>
              <w:rPr>
                <w:b/>
                <w:color w:val="000000"/>
                <w:sz w:val="20"/>
              </w:rPr>
              <w:t>Koszty inwestycyjne w przeliczeniu na powierzchnię zł/m</w:t>
            </w:r>
            <w:r>
              <w:rPr>
                <w:b/>
                <w:color w:val="000000"/>
                <w:position w:val="5"/>
                <w:sz w:val="20"/>
              </w:rPr>
              <w:t>2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5,47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5,47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Roczne oszczędności kosztów </w:t>
            </w:r>
            <w:r>
              <w:rPr>
                <w:rFonts w:ascii="Symbol" w:eastAsia="Symbol" w:hAnsi="Symbol" w:cs="Symbol"/>
                <w:b/>
                <w:color w:val="000000"/>
                <w:sz w:val="20"/>
              </w:rPr>
              <w:t></w:t>
            </w:r>
            <w:r>
              <w:rPr>
                <w:b/>
                <w:color w:val="000000"/>
                <w:sz w:val="20"/>
              </w:rPr>
              <w:t>Or zł/rok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-148,13</w:t>
            </w:r>
          </w:p>
        </w:tc>
      </w:tr>
      <w:tr w:rsidR="002209F8">
        <w:tc>
          <w:tcPr>
            <w:tcW w:w="6064" w:type="dxa"/>
            <w:shd w:val="clear" w:color="auto" w:fill="A9A9A9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Prosty czas zwrotu inwestycji w źródła alternatywne SPBT</w:t>
            </w:r>
          </w:p>
        </w:tc>
        <w:tc>
          <w:tcPr>
            <w:tcW w:w="2022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021" w:type="dxa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</w:tr>
      <w:tr w:rsidR="002209F8">
        <w:tc>
          <w:tcPr>
            <w:tcW w:w="10107" w:type="dxa"/>
            <w:gridSpan w:val="3"/>
            <w:shd w:val="clear" w:color="auto" w:fill="FFFFFF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WYNIKI ANALIZY: Zastosowanie źródeł alternatywnych jest nie korzystne pod względem eksploatacyjnym  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0000"/>
          <w:sz w:val="20"/>
        </w:r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13.5 Analiza zbiorcza opłacalności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</w:t>
            </w:r>
          </w:p>
        </w:tc>
        <w:tc>
          <w:tcPr>
            <w:tcW w:w="2022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Opłacalność</w:t>
            </w:r>
          </w:p>
        </w:tc>
        <w:tc>
          <w:tcPr>
            <w:tcW w:w="2021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SPBT</w:t>
            </w:r>
          </w:p>
        </w:tc>
      </w:tr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System ogrzewania i wentylacji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nie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</w:tr>
      <w:tr w:rsidR="002209F8">
        <w:tc>
          <w:tcPr>
            <w:tcW w:w="6064" w:type="dxa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System przygotowania ciepłej wody</w:t>
            </w:r>
          </w:p>
        </w:tc>
        <w:tc>
          <w:tcPr>
            <w:tcW w:w="2022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nie</w:t>
            </w:r>
          </w:p>
        </w:tc>
        <w:tc>
          <w:tcPr>
            <w:tcW w:w="2021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</w:tr>
    </w:tbl>
    <w:p w:rsidR="002209F8" w:rsidRDefault="002209F8">
      <w:pPr>
        <w:pStyle w:val="Normal"/>
        <w:sectPr w:rsidR="002209F8">
          <w:pgSz w:w="11907" w:h="16839"/>
          <w:pgMar w:top="1134" w:right="900" w:bottom="1417" w:left="900" w:header="567" w:footer="283" w:gutter="0"/>
          <w:cols w:space="708"/>
        </w:sectPr>
      </w:pPr>
    </w:p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14. Zestawienie kosztów inwestycyjno - eksploatacyjnych za okres 10,00 lat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2209F8">
        <w:tc>
          <w:tcPr>
            <w:tcW w:w="10107" w:type="dxa"/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pl-PL" w:eastAsia="pl-PL"/>
              </w:rPr>
              <w:drawing>
                <wp:inline distT="0" distB="0" distL="0" distR="0">
                  <wp:extent cx="6477000" cy="3810000"/>
                  <wp:effectExtent l="0" t="0" r="0" b="0"/>
                  <wp:docPr id="13" name="_tx_id_13_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3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9F8" w:rsidRDefault="0013192D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  <w:r>
        <w:rPr>
          <w:color w:val="000000"/>
        </w:rPr>
        <w:t>Wykres zestawienia kosztów inwestycyjnych i eksploatacyjnych za okres 10,00 lat</w:t>
      </w:r>
    </w:p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</w:r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2022"/>
        <w:gridCol w:w="2021"/>
        <w:gridCol w:w="2022"/>
        <w:gridCol w:w="2021"/>
      </w:tblGrid>
      <w:tr w:rsidR="002209F8">
        <w:tc>
          <w:tcPr>
            <w:tcW w:w="2021" w:type="dxa"/>
            <w:vMerge w:val="restart"/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Przedział czasowy</w:t>
            </w:r>
          </w:p>
        </w:tc>
        <w:tc>
          <w:tcPr>
            <w:tcW w:w="4043" w:type="dxa"/>
            <w:gridSpan w:val="2"/>
            <w:tcBorders>
              <w:bottom w:val="single" w:sz="4" w:space="0" w:color="000000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Wariant projektowany</w:t>
            </w:r>
          </w:p>
        </w:tc>
        <w:tc>
          <w:tcPr>
            <w:tcW w:w="4043" w:type="dxa"/>
            <w:gridSpan w:val="2"/>
            <w:tcBorders>
              <w:bottom w:val="single" w:sz="4" w:space="0" w:color="000000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Wariant alternatywny</w:t>
            </w:r>
          </w:p>
        </w:tc>
      </w:tr>
      <w:tr w:rsidR="002209F8">
        <w:tc>
          <w:tcPr>
            <w:tcW w:w="2021" w:type="dxa"/>
            <w:vMerge/>
            <w:shd w:val="clear" w:color="auto" w:fill="A9A9A9"/>
            <w:vAlign w:val="center"/>
          </w:tcPr>
          <w:p w:rsidR="002209F8" w:rsidRDefault="002209F8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</w:pP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eksploatacyjne [zł]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9A9A9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Koszty eksploatacyjne [zł]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1685,31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3370,62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5055,94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6741,25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8426,56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10111,87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11797,18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13482,50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15167,81</w:t>
            </w:r>
          </w:p>
        </w:tc>
      </w:tr>
      <w:tr w:rsidR="002209F8">
        <w:tc>
          <w:tcPr>
            <w:tcW w:w="202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2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202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2460,00</w:t>
            </w:r>
          </w:p>
        </w:tc>
        <w:tc>
          <w:tcPr>
            <w:tcW w:w="202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209F8" w:rsidRDefault="0013192D">
            <w:pPr>
              <w:pStyle w:val="Normal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16853,12</w:t>
            </w:r>
          </w:p>
        </w:tc>
      </w:tr>
    </w:tbl>
    <w:p w:rsidR="002209F8" w:rsidRDefault="002209F8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000000"/>
          <w:sz w:val="20"/>
        </w:rPr>
      </w:pPr>
    </w:p>
    <w:sectPr w:rsidR="002209F8">
      <w:pgSz w:w="11907" w:h="16839"/>
      <w:pgMar w:top="1134" w:right="900" w:bottom="1417" w:left="900" w:header="567" w:footer="28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92D" w:rsidRDefault="0013192D">
      <w:pPr>
        <w:spacing w:after="0" w:line="240" w:lineRule="auto"/>
      </w:pPr>
      <w:r>
        <w:separator/>
      </w:r>
    </w:p>
  </w:endnote>
  <w:endnote w:type="continuationSeparator" w:id="0">
    <w:p w:rsidR="0013192D" w:rsidRDefault="00131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107"/>
    </w:tblGrid>
    <w:tr w:rsidR="002209F8">
      <w:tc>
        <w:tcPr>
          <w:tcW w:w="10107" w:type="dxa"/>
          <w:shd w:val="clear" w:color="auto" w:fill="auto"/>
        </w:tcPr>
        <w:p w:rsidR="002209F8" w:rsidRDefault="0013192D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2"/>
            </w:rPr>
          </w:pPr>
          <w:r>
            <w:rPr>
              <w:sz w:val="12"/>
            </w:rPr>
            <w:t>ArCADia-TERMOCAD 7.6 ArCADiasoft Chudzik sp. j. ul. Sienkiewicza 85/87,</w:t>
          </w:r>
        </w:p>
        <w:p w:rsidR="002209F8" w:rsidRDefault="0013192D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2"/>
            </w:rPr>
          </w:pPr>
          <w:r>
            <w:rPr>
              <w:sz w:val="12"/>
            </w:rPr>
            <w:t>90-057 Łódź, tel (42)689-11-11</w:t>
          </w:r>
        </w:p>
        <w:p w:rsidR="002209F8" w:rsidRDefault="002209F8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2"/>
            </w:rPr>
          </w:pPr>
        </w:p>
        <w:p w:rsidR="002209F8" w:rsidRDefault="0013192D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jc w:val="center"/>
            <w:rPr>
              <w:sz w:val="20"/>
            </w:rPr>
          </w:pPr>
          <w:r>
            <w:rPr>
              <w:sz w:val="20"/>
            </w:rPr>
            <w:t xml:space="preserve">-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 PAGE \* Arabic \* MERGEFORMAT </w:instrText>
          </w:r>
          <w:r w:rsidR="005E16E4"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-</w:t>
          </w:r>
        </w:p>
      </w:tc>
    </w:tr>
  </w:tbl>
  <w:p w:rsidR="002209F8" w:rsidRDefault="002209F8">
    <w:pPr>
      <w:pStyle w:val="Normal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92D" w:rsidRDefault="0013192D">
      <w:pPr>
        <w:spacing w:after="0" w:line="240" w:lineRule="auto"/>
      </w:pPr>
      <w:r>
        <w:separator/>
      </w:r>
    </w:p>
  </w:footnote>
  <w:footnote w:type="continuationSeparator" w:id="0">
    <w:p w:rsidR="0013192D" w:rsidRDefault="00131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00"/>
      <w:gridCol w:w="3107"/>
    </w:tblGrid>
    <w:tr w:rsidR="002209F8">
      <w:tc>
        <w:tcPr>
          <w:tcW w:w="7000" w:type="dxa"/>
          <w:shd w:val="clear" w:color="auto" w:fill="auto"/>
        </w:tcPr>
        <w:p w:rsidR="002209F8" w:rsidRDefault="0013192D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8"/>
            </w:rPr>
          </w:pPr>
          <w:r>
            <w:rPr>
              <w:sz w:val="18"/>
            </w:rPr>
            <w:t>Projekt: 1</w:t>
          </w:r>
        </w:p>
        <w:p w:rsidR="002209F8" w:rsidRDefault="0013192D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rPr>
              <w:sz w:val="18"/>
            </w:rPr>
          </w:pPr>
          <w:r>
            <w:rPr>
              <w:sz w:val="18"/>
            </w:rPr>
            <w:t>Licencja dla: PROJEKTOWANIE USŁUGI HANDEL ProAgent Andrzej Oleradzki [L01]</w:t>
          </w:r>
        </w:p>
      </w:tc>
      <w:tc>
        <w:tcPr>
          <w:tcW w:w="3107" w:type="dxa"/>
          <w:shd w:val="clear" w:color="auto" w:fill="auto"/>
        </w:tcPr>
        <w:p w:rsidR="002209F8" w:rsidRDefault="002209F8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jc w:val="right"/>
            <w:rPr>
              <w:sz w:val="18"/>
            </w:rPr>
          </w:pPr>
        </w:p>
        <w:p w:rsidR="002209F8" w:rsidRDefault="002209F8">
          <w:pPr>
            <w:pStyle w:val="Normal"/>
            <w:tabs>
              <w:tab w:val="clear" w:pos="1134"/>
              <w:tab w:val="clear" w:pos="2268"/>
              <w:tab w:val="clear" w:pos="3402"/>
              <w:tab w:val="clear" w:pos="4536"/>
              <w:tab w:val="clear" w:pos="5670"/>
              <w:tab w:val="clear" w:pos="6804"/>
              <w:tab w:val="clear" w:pos="7938"/>
              <w:tab w:val="clear" w:pos="9072"/>
              <w:tab w:val="clear" w:pos="10206"/>
              <w:tab w:val="clear" w:pos="11340"/>
              <w:tab w:val="clear" w:pos="12474"/>
              <w:tab w:val="clear" w:pos="13608"/>
              <w:tab w:val="clear" w:pos="14742"/>
              <w:tab w:val="clear" w:pos="15876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  <w:tab w:val="left" w:pos="10080"/>
            </w:tabs>
            <w:jc w:val="right"/>
            <w:rPr>
              <w:sz w:val="18"/>
            </w:rPr>
          </w:pPr>
        </w:p>
      </w:tc>
    </w:tr>
  </w:tbl>
  <w:p w:rsidR="002209F8" w:rsidRDefault="002209F8">
    <w:pPr>
      <w:pStyle w:val="Normal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0"/>
  <w:bordersDoNotSurroundHeader/>
  <w:bordersDoNotSurroundFooter/>
  <w:defaultTabStop w:val="113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</w:compat>
  <w:rsids>
    <w:rsidRoot w:val="002209F8"/>
    <w:rsid w:val="0013192D"/>
    <w:rsid w:val="002209F8"/>
    <w:rsid w:val="005E16E4"/>
    <w:rsid w:val="007D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Times New Roman" w:cs="Times New Roman"/>
        <w:sz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Tekstdymka">
    <w:name w:val="Balloon Text"/>
    <w:basedOn w:val="Normalny"/>
    <w:link w:val="TekstdymkaZnak"/>
    <w:rsid w:val="005E1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E1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5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1816</Words>
  <Characters>10901</Characters>
  <Application>Microsoft Office Word</Application>
  <DocSecurity>0</DocSecurity>
  <Lines>90</Lines>
  <Paragraphs>25</Paragraphs>
  <ScaleCrop>false</ScaleCrop>
  <Company/>
  <LinksUpToDate>false</LinksUpToDate>
  <CharactersWithSpaces>12692</CharactersWithSpaces>
  <SharedDoc>false</SharedDoc>
  <HyperlinkBase>C:\Users\ProAgent\Desktop\04022022\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ProAgent</cp:lastModifiedBy>
  <cp:revision>4</cp:revision>
  <dcterms:created xsi:type="dcterms:W3CDTF">2022-03-08T07:53:00Z</dcterms:created>
  <dcterms:modified xsi:type="dcterms:W3CDTF">2022-03-08T07:57:00Z</dcterms:modified>
</cp:coreProperties>
</file>