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0A2B" w:rsidRPr="00431DAC" w:rsidRDefault="00700A2B" w:rsidP="00431DAC">
      <w:pPr>
        <w:pStyle w:val="TYTU3SPECYFIKACJA"/>
        <w:spacing w:before="0"/>
        <w:rPr>
          <w:rFonts w:cs="Arial"/>
          <w:sz w:val="20"/>
        </w:rPr>
      </w:pPr>
      <w:r w:rsidRPr="00431DAC">
        <w:rPr>
          <w:rFonts w:cs="Arial"/>
        </w:rPr>
        <w:t>D.07.05.01</w:t>
      </w:r>
      <w:r w:rsidRPr="00431DAC">
        <w:rPr>
          <w:rFonts w:cs="Arial"/>
        </w:rPr>
        <w:tab/>
        <w:t>BARIERY  OCHRONNE  STALOWE</w:t>
      </w:r>
    </w:p>
    <w:p w:rsidR="00700A2B" w:rsidRPr="00431DAC" w:rsidRDefault="00700A2B" w:rsidP="00431DAC">
      <w:pPr>
        <w:pStyle w:val="TEKST1Tre"/>
        <w:spacing w:before="0"/>
        <w:rPr>
          <w:rFonts w:cs="Arial"/>
        </w:rPr>
      </w:pPr>
    </w:p>
    <w:p w:rsidR="00700A2B" w:rsidRPr="00431DAC" w:rsidRDefault="00700A2B" w:rsidP="00431DAC">
      <w:pPr>
        <w:pStyle w:val="PUNKTY11"/>
        <w:numPr>
          <w:ilvl w:val="0"/>
          <w:numId w:val="2"/>
        </w:numPr>
        <w:spacing w:before="0"/>
        <w:rPr>
          <w:rFonts w:cs="Arial"/>
        </w:rPr>
      </w:pPr>
      <w:r w:rsidRPr="00431DAC">
        <w:rPr>
          <w:rFonts w:cs="Arial"/>
        </w:rPr>
        <w:t>WstĘp</w:t>
      </w:r>
    </w:p>
    <w:p w:rsidR="00700A2B" w:rsidRPr="00431DAC" w:rsidRDefault="00700A2B" w:rsidP="00431DAC">
      <w:pPr>
        <w:pStyle w:val="TEKST1Tre"/>
        <w:spacing w:before="0"/>
        <w:rPr>
          <w:rFonts w:cs="Arial"/>
        </w:rPr>
      </w:pPr>
    </w:p>
    <w:p w:rsidR="00700A2B" w:rsidRPr="00431DAC" w:rsidRDefault="00700A2B" w:rsidP="00431DAC">
      <w:pPr>
        <w:pStyle w:val="PUNKTY212"/>
        <w:numPr>
          <w:ilvl w:val="1"/>
          <w:numId w:val="12"/>
        </w:numPr>
        <w:spacing w:before="0"/>
        <w:rPr>
          <w:rFonts w:cs="Arial"/>
        </w:rPr>
      </w:pPr>
      <w:r w:rsidRPr="00431DAC">
        <w:rPr>
          <w:rFonts w:cs="Arial"/>
        </w:rPr>
        <w:t>Przedmiot ST</w:t>
      </w:r>
    </w:p>
    <w:p w:rsidR="00700A2B" w:rsidRPr="00431DAC" w:rsidRDefault="00700A2B" w:rsidP="00431DAC">
      <w:pPr>
        <w:pStyle w:val="TEKST1Tre"/>
        <w:spacing w:before="0"/>
        <w:rPr>
          <w:rFonts w:cs="Arial"/>
        </w:rPr>
      </w:pPr>
    </w:p>
    <w:p w:rsidR="00700A2B" w:rsidRPr="00431DAC" w:rsidRDefault="00700A2B" w:rsidP="00431DAC">
      <w:pPr>
        <w:pStyle w:val="TEKST1Tre"/>
        <w:spacing w:before="0"/>
        <w:rPr>
          <w:rFonts w:cs="Arial"/>
        </w:rPr>
      </w:pPr>
      <w:r w:rsidRPr="00431DAC">
        <w:rPr>
          <w:rFonts w:cs="Arial"/>
        </w:rPr>
        <w:t>Przedmiotem niniejszej Specyfikacji Technicznej są wymagania dotyczące robót związanych z wykonaniem i odbiorem robót dotyczących ustawienia barier ochronnych stalowych.</w:t>
      </w:r>
    </w:p>
    <w:p w:rsidR="00700A2B" w:rsidRPr="00431DAC" w:rsidRDefault="00700A2B" w:rsidP="00431DAC">
      <w:pPr>
        <w:pStyle w:val="TEKST1Tre"/>
        <w:spacing w:before="0"/>
        <w:rPr>
          <w:rFonts w:cs="Arial"/>
        </w:rPr>
      </w:pPr>
    </w:p>
    <w:p w:rsidR="00700A2B" w:rsidRPr="00431DAC" w:rsidRDefault="00700A2B" w:rsidP="00431DAC">
      <w:pPr>
        <w:pStyle w:val="PUNKTY212"/>
        <w:numPr>
          <w:ilvl w:val="1"/>
          <w:numId w:val="1"/>
        </w:numPr>
        <w:spacing w:before="0"/>
        <w:rPr>
          <w:rFonts w:cs="Arial"/>
        </w:rPr>
      </w:pPr>
      <w:r w:rsidRPr="00431DAC">
        <w:rPr>
          <w:rFonts w:cs="Arial"/>
        </w:rPr>
        <w:t>Zakres stosowania ST</w:t>
      </w:r>
    </w:p>
    <w:p w:rsidR="00700A2B" w:rsidRPr="00431DAC" w:rsidRDefault="00700A2B" w:rsidP="00431DAC">
      <w:pPr>
        <w:pStyle w:val="TEKST1Tre"/>
        <w:spacing w:before="0"/>
        <w:rPr>
          <w:rFonts w:cs="Arial"/>
        </w:rPr>
      </w:pPr>
    </w:p>
    <w:p w:rsidR="00700A2B" w:rsidRPr="00431DAC" w:rsidRDefault="00700A2B" w:rsidP="00431DAC">
      <w:pPr>
        <w:pStyle w:val="TEKST1Tre"/>
        <w:spacing w:before="0"/>
        <w:rPr>
          <w:rFonts w:cs="Arial"/>
        </w:rPr>
      </w:pPr>
      <w:r w:rsidRPr="00431DAC">
        <w:rPr>
          <w:rFonts w:cs="Arial"/>
        </w:rPr>
        <w:t>Specyfikacje Techniczne stanowią część Dokumentów Przetargowych i Umowy i należy je stosowa</w:t>
      </w:r>
      <w:r w:rsidRPr="00431DAC">
        <w:rPr>
          <w:rFonts w:cs="Arial"/>
        </w:rPr>
        <w:sym w:font="Times New Roman" w:char="0107"/>
      </w:r>
      <w:r w:rsidRPr="00431DAC">
        <w:rPr>
          <w:rFonts w:cs="Arial"/>
        </w:rPr>
        <w:t xml:space="preserve"> w zlecaniu i wykonaniu Robót opisanych w podpunkcie 1.1.</w:t>
      </w:r>
    </w:p>
    <w:p w:rsidR="00700A2B" w:rsidRPr="00431DAC" w:rsidRDefault="00700A2B" w:rsidP="00431DAC">
      <w:pPr>
        <w:pStyle w:val="TEKST1Tre"/>
        <w:spacing w:before="0"/>
        <w:rPr>
          <w:rFonts w:cs="Arial"/>
        </w:rPr>
      </w:pPr>
      <w:r w:rsidRPr="00431DAC">
        <w:rPr>
          <w:rFonts w:cs="Arial"/>
        </w:rPr>
        <w:t xml:space="preserve"> </w:t>
      </w:r>
    </w:p>
    <w:p w:rsidR="00700A2B" w:rsidRPr="00431DAC" w:rsidRDefault="00700A2B" w:rsidP="00431DAC">
      <w:pPr>
        <w:pStyle w:val="PUNKTY212"/>
        <w:numPr>
          <w:ilvl w:val="1"/>
          <w:numId w:val="1"/>
        </w:numPr>
        <w:spacing w:before="0"/>
        <w:rPr>
          <w:rFonts w:cs="Arial"/>
        </w:rPr>
      </w:pPr>
      <w:r w:rsidRPr="00431DAC">
        <w:rPr>
          <w:rFonts w:cs="Arial"/>
        </w:rPr>
        <w:t>Zakres robót objętych ST</w:t>
      </w:r>
    </w:p>
    <w:p w:rsidR="00700A2B" w:rsidRPr="00431DAC" w:rsidRDefault="00700A2B" w:rsidP="00431DAC">
      <w:pPr>
        <w:pStyle w:val="TEKST1Tre"/>
        <w:spacing w:before="0"/>
        <w:rPr>
          <w:rFonts w:cs="Arial"/>
        </w:rPr>
      </w:pPr>
    </w:p>
    <w:p w:rsidR="00700A2B" w:rsidRPr="00431DAC" w:rsidRDefault="00700A2B" w:rsidP="00431DAC">
      <w:pPr>
        <w:pStyle w:val="TEKST1Tre"/>
        <w:spacing w:before="0"/>
        <w:rPr>
          <w:rFonts w:cs="Arial"/>
        </w:rPr>
      </w:pPr>
      <w:r w:rsidRPr="00431DAC">
        <w:rPr>
          <w:rFonts w:cs="Arial"/>
        </w:rPr>
        <w:t>Ustalenia zawarte w niniejszej specyfikacji dotyczą zasad prowadzenia robót związanych z ustawieniem barier ochronnych stalowych jednostronnych</w:t>
      </w:r>
      <w:r w:rsidR="00346949" w:rsidRPr="00431DAC">
        <w:rPr>
          <w:rFonts w:cs="Arial"/>
        </w:rPr>
        <w:t>:</w:t>
      </w:r>
    </w:p>
    <w:p w:rsidR="00700A2B" w:rsidRPr="00431DAC" w:rsidRDefault="00700A2B" w:rsidP="00431DAC">
      <w:pPr>
        <w:pStyle w:val="TEKST1Tre"/>
        <w:numPr>
          <w:ilvl w:val="0"/>
          <w:numId w:val="3"/>
        </w:numPr>
        <w:spacing w:before="0"/>
        <w:rPr>
          <w:rFonts w:cs="Arial"/>
        </w:rPr>
      </w:pPr>
      <w:r w:rsidRPr="00431DAC">
        <w:rPr>
          <w:rFonts w:cs="Arial"/>
        </w:rPr>
        <w:t>Montaż barier ochronny</w:t>
      </w:r>
      <w:r w:rsidR="00061DAE">
        <w:rPr>
          <w:rFonts w:cs="Arial"/>
        </w:rPr>
        <w:t>ch stalowych o parametrach N2</w:t>
      </w:r>
      <w:r w:rsidR="00843C79" w:rsidRPr="00431DAC">
        <w:rPr>
          <w:rFonts w:cs="Arial"/>
        </w:rPr>
        <w:t>W3</w:t>
      </w:r>
      <w:r w:rsidRPr="00431DAC">
        <w:rPr>
          <w:rFonts w:cs="Arial"/>
        </w:rPr>
        <w:t xml:space="preserve"> na odcinkach drogi</w:t>
      </w:r>
      <w:r w:rsidR="00843C79" w:rsidRPr="00431DAC">
        <w:rPr>
          <w:rFonts w:cs="Arial"/>
        </w:rPr>
        <w:t xml:space="preserve"> wg dokumentacji projektowej</w:t>
      </w:r>
    </w:p>
    <w:p w:rsidR="00700A2B" w:rsidRPr="00431DAC" w:rsidRDefault="00700A2B" w:rsidP="00431DAC">
      <w:pPr>
        <w:pStyle w:val="TEKST1Tre"/>
        <w:spacing w:before="0"/>
        <w:ind w:left="720"/>
        <w:rPr>
          <w:rFonts w:cs="Arial"/>
        </w:rPr>
      </w:pPr>
    </w:p>
    <w:p w:rsidR="00431DAC" w:rsidRPr="00431DAC" w:rsidRDefault="00431DAC" w:rsidP="00431DAC">
      <w:pPr>
        <w:pStyle w:val="PUNKTY212"/>
        <w:numPr>
          <w:ilvl w:val="1"/>
          <w:numId w:val="1"/>
        </w:numPr>
        <w:spacing w:before="0"/>
        <w:rPr>
          <w:rFonts w:cs="Arial"/>
        </w:rPr>
      </w:pPr>
      <w:r w:rsidRPr="00431DAC">
        <w:rPr>
          <w:rFonts w:cs="Arial"/>
        </w:rPr>
        <w:t>Określenia podstawowe</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Dla celów niniejszej ST przyjmuje się następujące okreś</w:t>
      </w:r>
      <w:r w:rsidRPr="00431DAC">
        <w:rPr>
          <w:rFonts w:cs="Arial"/>
        </w:rPr>
        <w:softHyphen/>
        <w:t>lenia podstawowe:</w:t>
      </w:r>
    </w:p>
    <w:p w:rsidR="00431DAC" w:rsidRPr="00431DAC" w:rsidRDefault="00431DAC" w:rsidP="00431DAC">
      <w:pPr>
        <w:pStyle w:val="TEKST1Tre"/>
        <w:spacing w:before="0"/>
        <w:rPr>
          <w:rFonts w:cs="Arial"/>
        </w:rPr>
      </w:pPr>
      <w:r w:rsidRPr="00431DAC">
        <w:rPr>
          <w:rFonts w:cs="Arial"/>
        </w:rPr>
        <w:t>1.4.1.</w:t>
      </w:r>
      <w:r w:rsidRPr="00431DAC">
        <w:rPr>
          <w:rFonts w:cs="Arial"/>
        </w:rPr>
        <w:tab/>
        <w:t>Bariera ochronna - urządzenie bezpieczeństwa ruchu drogo</w:t>
      </w:r>
      <w:r w:rsidRPr="00431DAC">
        <w:rPr>
          <w:rFonts w:cs="Arial"/>
        </w:rPr>
        <w:softHyphen/>
        <w:t>wego, stosowane w celu fizycznego zapobieżenia zjechaniu pojaz</w:t>
      </w:r>
      <w:r w:rsidRPr="00431DAC">
        <w:rPr>
          <w:rFonts w:cs="Arial"/>
        </w:rPr>
        <w:softHyphen/>
        <w:t>du z drogi w miejscach, gdzie to jest niebezpieczne, wyjechaniu pojazdu poza koronę drogi, przejechaniu pojazdu na jezdnię przez</w:t>
      </w:r>
      <w:r w:rsidRPr="00431DAC">
        <w:rPr>
          <w:rFonts w:cs="Arial"/>
        </w:rPr>
        <w:softHyphen/>
        <w:t xml:space="preserve">naczoną dla przeciwnego kierunku ruchu lub niedopuszczenia do powstania kolizji pojazdu z obiektami lub przeszkodami stałymi znajdującymi się w </w:t>
      </w:r>
      <w:bookmarkStart w:id="0" w:name="_GoBack"/>
      <w:r w:rsidRPr="00431DAC">
        <w:rPr>
          <w:rFonts w:cs="Arial"/>
        </w:rPr>
        <w:t>pobliżu jezdni.</w:t>
      </w:r>
    </w:p>
    <w:p w:rsidR="00431DAC" w:rsidRPr="00431DAC" w:rsidRDefault="00431DAC" w:rsidP="00431DAC">
      <w:pPr>
        <w:pStyle w:val="TEKST1Tre"/>
        <w:spacing w:before="0"/>
        <w:rPr>
          <w:rFonts w:cs="Arial"/>
        </w:rPr>
      </w:pPr>
      <w:r w:rsidRPr="00431DAC">
        <w:rPr>
          <w:rFonts w:cs="Arial"/>
        </w:rPr>
        <w:t>1.4.2.</w:t>
      </w:r>
      <w:r w:rsidRPr="00431DAC">
        <w:rPr>
          <w:rFonts w:cs="Arial"/>
        </w:rPr>
        <w:tab/>
        <w:t>Bariera ochronna stalowa - bariera ochronna, której pods</w:t>
      </w:r>
      <w:r w:rsidRPr="00431DAC">
        <w:rPr>
          <w:rFonts w:cs="Arial"/>
        </w:rPr>
        <w:softHyphen/>
        <w:t>tawowym elementem jest prowadnica wykonana z profilowanej taśmy stalowej.</w:t>
      </w:r>
    </w:p>
    <w:p w:rsidR="00431DAC" w:rsidRPr="00431DAC" w:rsidRDefault="00431DAC" w:rsidP="00431DAC">
      <w:pPr>
        <w:pStyle w:val="TEKST1Tre"/>
        <w:spacing w:before="0"/>
        <w:rPr>
          <w:rFonts w:cs="Arial"/>
        </w:rPr>
      </w:pPr>
      <w:r w:rsidRPr="00431DAC">
        <w:rPr>
          <w:rFonts w:cs="Arial"/>
        </w:rPr>
        <w:t>1.4.3.</w:t>
      </w:r>
      <w:r w:rsidRPr="00431DAC">
        <w:rPr>
          <w:rFonts w:cs="Arial"/>
        </w:rPr>
        <w:tab/>
        <w:t>Bariera skrajna - bariera ochronna umieszczona przy kra</w:t>
      </w:r>
      <w:r w:rsidRPr="00431DAC">
        <w:rPr>
          <w:rFonts w:cs="Arial"/>
        </w:rPr>
        <w:softHyphen/>
        <w:t>wędzi jezdni lub korony drogi, przeciwdzia</w:t>
      </w:r>
      <w:r w:rsidRPr="00431DAC">
        <w:rPr>
          <w:rFonts w:cs="Arial"/>
        </w:rPr>
        <w:softHyphen/>
        <w:t>łająca niebezpiecznym następstwom zjechania z drogi lub je og</w:t>
      </w:r>
      <w:r w:rsidRPr="00431DAC">
        <w:rPr>
          <w:rFonts w:cs="Arial"/>
        </w:rPr>
        <w:softHyphen/>
        <w:t>raniczająca.</w:t>
      </w:r>
    </w:p>
    <w:p w:rsidR="00431DAC" w:rsidRPr="00431DAC" w:rsidRDefault="00431DAC" w:rsidP="00431DAC">
      <w:pPr>
        <w:pStyle w:val="TEKST1Tre"/>
        <w:spacing w:before="0"/>
        <w:rPr>
          <w:rFonts w:cs="Arial"/>
        </w:rPr>
      </w:pPr>
      <w:r w:rsidRPr="00431DAC">
        <w:rPr>
          <w:rFonts w:cs="Arial"/>
        </w:rPr>
        <w:t>1.4.4.</w:t>
      </w:r>
      <w:r w:rsidRPr="00431DAC">
        <w:rPr>
          <w:rFonts w:cs="Arial"/>
        </w:rPr>
        <w:tab/>
        <w:t>Bariera przekładkowa - bariera, w której prowadnica zamo</w:t>
      </w:r>
      <w:r w:rsidRPr="00431DAC">
        <w:rPr>
          <w:rFonts w:cs="Arial"/>
        </w:rPr>
        <w:softHyphen/>
        <w:t>cowana jest do słupków za pośrednictwem  przekładek  zapewniają</w:t>
      </w:r>
      <w:r w:rsidRPr="00431DAC">
        <w:rPr>
          <w:rFonts w:cs="Arial"/>
        </w:rPr>
        <w:softHyphen/>
        <w:t>cych  odstęp  między  prowadnicą a słupkiem od 100 mm do 180 mm.</w:t>
      </w:r>
    </w:p>
    <w:p w:rsidR="00431DAC" w:rsidRPr="00431DAC" w:rsidRDefault="00431DAC" w:rsidP="00431DAC">
      <w:pPr>
        <w:pStyle w:val="TEKST1Tre"/>
        <w:spacing w:before="0"/>
        <w:rPr>
          <w:rFonts w:cs="Arial"/>
        </w:rPr>
      </w:pPr>
      <w:r w:rsidRPr="00431DAC">
        <w:rPr>
          <w:rFonts w:cs="Arial"/>
        </w:rPr>
        <w:t>1.4.5.</w:t>
      </w:r>
      <w:r w:rsidRPr="00431DAC">
        <w:rPr>
          <w:rFonts w:cs="Arial"/>
        </w:rPr>
        <w:tab/>
        <w:t>Prowadnica bariery - podstawowy element bariery wykonany z profilowanej taśmy stalowej, mający za zadanie umożliwienie płynnego wzdłużnego przemieszczenia pojazdu w czasie kolizji, w czasie którego prowadnica powinna odkształcać się stopniowo i w sposób plastyczny.</w:t>
      </w:r>
    </w:p>
    <w:p w:rsidR="00431DAC" w:rsidRPr="00431DAC" w:rsidRDefault="00431DAC" w:rsidP="00431DAC">
      <w:pPr>
        <w:pStyle w:val="TEKST1Tre"/>
        <w:spacing w:before="0"/>
        <w:rPr>
          <w:rFonts w:cs="Arial"/>
        </w:rPr>
      </w:pPr>
      <w:r w:rsidRPr="00431DAC">
        <w:rPr>
          <w:rFonts w:cs="Arial"/>
        </w:rPr>
        <w:t>Odróżnia się dwa typy profilowanej taśmy stalowej: typ A i typ B, różniące się kształtem przetłoczeń.</w:t>
      </w:r>
    </w:p>
    <w:p w:rsidR="00431DAC" w:rsidRPr="00431DAC" w:rsidRDefault="00431DAC" w:rsidP="00431DAC">
      <w:pPr>
        <w:pStyle w:val="TEKST1Tre"/>
        <w:spacing w:before="0"/>
        <w:rPr>
          <w:rFonts w:cs="Arial"/>
        </w:rPr>
      </w:pPr>
      <w:r w:rsidRPr="00431DAC">
        <w:rPr>
          <w:rFonts w:cs="Arial"/>
        </w:rPr>
        <w:t>1.4.6.</w:t>
      </w:r>
      <w:r w:rsidRPr="00431DAC">
        <w:rPr>
          <w:rFonts w:cs="Arial"/>
        </w:rPr>
        <w:tab/>
        <w:t>Przekładka - element bariery, wykonany zwykle z rury (okrągłej, prostokątnej) lub kształtownika stalowego (np. z ceow</w:t>
      </w:r>
      <w:r w:rsidRPr="00431DAC">
        <w:rPr>
          <w:rFonts w:cs="Arial"/>
        </w:rPr>
        <w:softHyphen/>
        <w:t xml:space="preserve">nika, dwuteownika) o szerokości od 100 do 140 mm, umieszczony pomiędzy prowadnicą a słupkiem, którego zadaniem jest nadanie barierze korzystniejszych właściwości kolizyjnych (niż w barierze </w:t>
      </w:r>
      <w:proofErr w:type="spellStart"/>
      <w:r w:rsidRPr="00431DAC">
        <w:rPr>
          <w:rFonts w:cs="Arial"/>
        </w:rPr>
        <w:t>bez</w:t>
      </w:r>
      <w:r w:rsidRPr="00431DAC">
        <w:rPr>
          <w:rFonts w:cs="Arial"/>
        </w:rPr>
        <w:softHyphen/>
        <w:t>przekładkowej</w:t>
      </w:r>
      <w:proofErr w:type="spellEnd"/>
      <w:r w:rsidRPr="00431DAC">
        <w:rPr>
          <w:rFonts w:cs="Arial"/>
        </w:rPr>
        <w:t>), powodujących, że prowadnica bariery w pierwszej fazie odkształcania lub przemieszczania słupków nie jest odgina</w:t>
      </w:r>
      <w:r w:rsidRPr="00431DAC">
        <w:rPr>
          <w:rFonts w:cs="Arial"/>
        </w:rPr>
        <w:softHyphen/>
        <w:t>na do dołu, lecz unoszona ku górze.</w:t>
      </w:r>
    </w:p>
    <w:p w:rsidR="00431DAC" w:rsidRPr="00431DAC" w:rsidRDefault="00431DAC" w:rsidP="00431DAC">
      <w:pPr>
        <w:pStyle w:val="TEKST1Tre"/>
        <w:spacing w:before="0"/>
        <w:rPr>
          <w:rFonts w:cs="Arial"/>
        </w:rPr>
      </w:pPr>
      <w:r w:rsidRPr="00431DAC">
        <w:rPr>
          <w:rFonts w:cs="Arial"/>
        </w:rPr>
        <w:t>1.4.7. Pozostałe określenia podstawowe są zgodne z obowiązują</w:t>
      </w:r>
      <w:r w:rsidRPr="00431DAC">
        <w:rPr>
          <w:rFonts w:cs="Arial"/>
        </w:rPr>
        <w:softHyphen/>
        <w:t>cymi, odpowiednimi polskimi normami i z definicjami podanymi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
        </w:numPr>
        <w:spacing w:before="0"/>
        <w:rPr>
          <w:rFonts w:cs="Arial"/>
        </w:rPr>
      </w:pPr>
      <w:r w:rsidRPr="00431DAC">
        <w:rPr>
          <w:rFonts w:cs="Arial"/>
        </w:rPr>
        <w:t>Ogólne wymagania dotyczące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wymagania dotyczące robót podano w ST D.00.00.00 „Wymagania ogólne”.</w:t>
      </w:r>
    </w:p>
    <w:p w:rsidR="00431DAC" w:rsidRPr="00431DAC" w:rsidRDefault="00431DAC" w:rsidP="00431DAC">
      <w:pPr>
        <w:pStyle w:val="TEKST1Tre"/>
        <w:spacing w:before="0"/>
        <w:rPr>
          <w:rFonts w:cs="Arial"/>
        </w:rPr>
      </w:pPr>
      <w:r w:rsidRPr="00431DAC">
        <w:rPr>
          <w:rFonts w:cs="Arial"/>
        </w:rPr>
        <w:t>Wykonawca robót jest odpowiedzialny za jakość ich wykonania oraz za zgodność z Dokumentacją Projektową, ST i poleceniami Inżyniera.</w:t>
      </w:r>
    </w:p>
    <w:p w:rsidR="00431DAC" w:rsidRPr="00431DAC" w:rsidRDefault="00431DAC" w:rsidP="00431DAC">
      <w:pPr>
        <w:pStyle w:val="TEKST1Tre"/>
        <w:spacing w:before="0"/>
        <w:rPr>
          <w:rFonts w:cs="Arial"/>
        </w:rPr>
      </w:pPr>
      <w:r w:rsidRPr="00431DAC">
        <w:rPr>
          <w:rFonts w:cs="Arial"/>
        </w:rPr>
        <w:t>Niezbędne dane z punktu widzenia:</w:t>
      </w:r>
    </w:p>
    <w:p w:rsidR="00431DAC" w:rsidRPr="00431DAC" w:rsidRDefault="00431DAC" w:rsidP="00431DAC">
      <w:pPr>
        <w:pStyle w:val="TEKST1Tre"/>
        <w:numPr>
          <w:ilvl w:val="1"/>
          <w:numId w:val="3"/>
        </w:numPr>
        <w:spacing w:before="0"/>
        <w:rPr>
          <w:rFonts w:cs="Arial"/>
        </w:rPr>
      </w:pPr>
      <w:r w:rsidRPr="00431DAC">
        <w:rPr>
          <w:rFonts w:cs="Arial"/>
        </w:rPr>
        <w:t>Organizacji robót budowlanych</w:t>
      </w:r>
    </w:p>
    <w:bookmarkEnd w:id="0"/>
    <w:p w:rsidR="00431DAC" w:rsidRPr="00431DAC" w:rsidRDefault="00431DAC" w:rsidP="00431DAC">
      <w:pPr>
        <w:pStyle w:val="TEKST1Tre"/>
        <w:numPr>
          <w:ilvl w:val="1"/>
          <w:numId w:val="3"/>
        </w:numPr>
        <w:spacing w:before="0"/>
        <w:rPr>
          <w:rFonts w:cs="Arial"/>
        </w:rPr>
      </w:pPr>
      <w:r w:rsidRPr="00431DAC">
        <w:rPr>
          <w:rFonts w:cs="Arial"/>
        </w:rPr>
        <w:t>Zabezpieczenia interesu osób trzecich</w:t>
      </w:r>
    </w:p>
    <w:p w:rsidR="00431DAC" w:rsidRPr="00431DAC" w:rsidRDefault="00431DAC" w:rsidP="00431DAC">
      <w:pPr>
        <w:pStyle w:val="TEKST1Tre"/>
        <w:numPr>
          <w:ilvl w:val="1"/>
          <w:numId w:val="3"/>
        </w:numPr>
        <w:spacing w:before="0"/>
        <w:rPr>
          <w:rFonts w:cs="Arial"/>
        </w:rPr>
      </w:pPr>
      <w:r w:rsidRPr="00431DAC">
        <w:rPr>
          <w:rFonts w:cs="Arial"/>
        </w:rPr>
        <w:t>Ochrony środowiska</w:t>
      </w:r>
    </w:p>
    <w:p w:rsidR="00431DAC" w:rsidRPr="00431DAC" w:rsidRDefault="00431DAC" w:rsidP="00431DAC">
      <w:pPr>
        <w:pStyle w:val="TEKST1Tre"/>
        <w:numPr>
          <w:ilvl w:val="1"/>
          <w:numId w:val="3"/>
        </w:numPr>
        <w:spacing w:before="0"/>
        <w:rPr>
          <w:rFonts w:cs="Arial"/>
        </w:rPr>
      </w:pPr>
      <w:r w:rsidRPr="00431DAC">
        <w:rPr>
          <w:rFonts w:cs="Arial"/>
        </w:rPr>
        <w:t>Warunków bezpieczeństwa pracy</w:t>
      </w:r>
    </w:p>
    <w:p w:rsidR="00431DAC" w:rsidRPr="00431DAC" w:rsidRDefault="00431DAC" w:rsidP="00431DAC">
      <w:pPr>
        <w:pStyle w:val="TEKST1Tre"/>
        <w:numPr>
          <w:ilvl w:val="1"/>
          <w:numId w:val="3"/>
        </w:numPr>
        <w:spacing w:before="0"/>
        <w:rPr>
          <w:rFonts w:cs="Arial"/>
        </w:rPr>
      </w:pPr>
      <w:r w:rsidRPr="00431DAC">
        <w:rPr>
          <w:rFonts w:cs="Arial"/>
        </w:rPr>
        <w:t>Zaplecza dla potrzeb Wykonawcy</w:t>
      </w:r>
    </w:p>
    <w:p w:rsidR="00431DAC" w:rsidRPr="00431DAC" w:rsidRDefault="00431DAC" w:rsidP="00431DAC">
      <w:pPr>
        <w:pStyle w:val="TEKST1Tre"/>
        <w:numPr>
          <w:ilvl w:val="1"/>
          <w:numId w:val="3"/>
        </w:numPr>
        <w:spacing w:before="0"/>
        <w:rPr>
          <w:rFonts w:cs="Arial"/>
        </w:rPr>
      </w:pPr>
      <w:r w:rsidRPr="00431DAC">
        <w:rPr>
          <w:rFonts w:cs="Arial"/>
        </w:rPr>
        <w:t>Warunków organizacji ruchu</w:t>
      </w:r>
    </w:p>
    <w:p w:rsidR="00431DAC" w:rsidRPr="00431DAC" w:rsidRDefault="00431DAC" w:rsidP="00431DAC">
      <w:pPr>
        <w:pStyle w:val="TEKST1Tre"/>
        <w:numPr>
          <w:ilvl w:val="1"/>
          <w:numId w:val="3"/>
        </w:numPr>
        <w:spacing w:before="0"/>
        <w:rPr>
          <w:rFonts w:cs="Arial"/>
        </w:rPr>
      </w:pPr>
      <w:r w:rsidRPr="00431DAC">
        <w:rPr>
          <w:rFonts w:cs="Arial"/>
        </w:rPr>
        <w:lastRenderedPageBreak/>
        <w:t>Zabezpieczenia chodników i jezdni</w:t>
      </w:r>
    </w:p>
    <w:p w:rsidR="00431DAC" w:rsidRPr="00431DAC" w:rsidRDefault="00431DAC" w:rsidP="00431DAC">
      <w:pPr>
        <w:pStyle w:val="TEKST1Tre"/>
        <w:spacing w:before="0"/>
        <w:rPr>
          <w:rFonts w:cs="Arial"/>
        </w:rPr>
      </w:pPr>
      <w:r w:rsidRPr="00431DAC">
        <w:rPr>
          <w:rFonts w:cs="Arial"/>
        </w:rPr>
        <w:t>Podano w ST D.00.00.00.</w:t>
      </w:r>
    </w:p>
    <w:p w:rsidR="00431DAC" w:rsidRPr="00431DAC" w:rsidRDefault="00431DAC" w:rsidP="00431DAC">
      <w:pPr>
        <w:pStyle w:val="PUNKTY11"/>
        <w:numPr>
          <w:ilvl w:val="0"/>
          <w:numId w:val="12"/>
        </w:numPr>
        <w:spacing w:before="0"/>
        <w:rPr>
          <w:rFonts w:cs="Arial"/>
        </w:rPr>
      </w:pPr>
      <w:bookmarkStart w:id="1" w:name="_Toc424024071"/>
      <w:r w:rsidRPr="00431DAC">
        <w:rPr>
          <w:rFonts w:cs="Arial"/>
        </w:rPr>
        <w:t>Wyroby budowlane</w:t>
      </w:r>
      <w:bookmarkEnd w:id="1"/>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6"/>
        </w:numPr>
        <w:spacing w:before="0"/>
        <w:rPr>
          <w:rFonts w:cs="Arial"/>
        </w:rPr>
      </w:pPr>
      <w:r w:rsidRPr="00431DAC">
        <w:rPr>
          <w:rFonts w:cs="Arial"/>
        </w:rPr>
        <w:t>Ogólne wymagania dotyczące wyrobów</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wymagania dotyczące wyrobów, ich pozyskiwania i składowania,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6"/>
        </w:numPr>
        <w:spacing w:before="0"/>
        <w:rPr>
          <w:rFonts w:cs="Arial"/>
        </w:rPr>
      </w:pPr>
      <w:r w:rsidRPr="00431DAC">
        <w:rPr>
          <w:rFonts w:cs="Arial"/>
        </w:rPr>
        <w:t>Wyroby do wykonania barier ochronnych stalowych</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Dopuszcza się do stosowania bariery ochronne drogowe spełniające wymagania normy PN-EN 1317.</w:t>
      </w:r>
    </w:p>
    <w:p w:rsidR="00431DAC" w:rsidRPr="00431DAC" w:rsidRDefault="00431DAC" w:rsidP="00431DAC">
      <w:pPr>
        <w:pStyle w:val="TEKST1Tre"/>
        <w:spacing w:before="0"/>
        <w:rPr>
          <w:rFonts w:cs="Arial"/>
        </w:rPr>
      </w:pPr>
      <w:r w:rsidRPr="00431DAC">
        <w:rPr>
          <w:rFonts w:cs="Arial"/>
        </w:rPr>
        <w:t>Elementy do wykonania barier ochronnych stalowych:</w:t>
      </w:r>
    </w:p>
    <w:p w:rsidR="00431DAC" w:rsidRPr="00431DAC" w:rsidRDefault="00431DAC" w:rsidP="00431DAC">
      <w:pPr>
        <w:pStyle w:val="TEKST1Tre"/>
        <w:numPr>
          <w:ilvl w:val="1"/>
          <w:numId w:val="3"/>
        </w:numPr>
        <w:spacing w:before="0"/>
        <w:rPr>
          <w:rFonts w:cs="Arial"/>
        </w:rPr>
      </w:pPr>
      <w:r w:rsidRPr="00431DAC">
        <w:rPr>
          <w:rFonts w:cs="Arial"/>
        </w:rPr>
        <w:t>prowadnica,</w:t>
      </w:r>
    </w:p>
    <w:p w:rsidR="00431DAC" w:rsidRPr="00431DAC" w:rsidRDefault="00431DAC" w:rsidP="00431DAC">
      <w:pPr>
        <w:pStyle w:val="TEKST1Tre"/>
        <w:numPr>
          <w:ilvl w:val="1"/>
          <w:numId w:val="3"/>
        </w:numPr>
        <w:spacing w:before="0"/>
        <w:rPr>
          <w:rFonts w:cs="Arial"/>
        </w:rPr>
      </w:pPr>
      <w:r w:rsidRPr="00431DAC">
        <w:rPr>
          <w:rFonts w:cs="Arial"/>
        </w:rPr>
        <w:t>słupki,</w:t>
      </w:r>
    </w:p>
    <w:p w:rsidR="00431DAC" w:rsidRPr="00431DAC" w:rsidRDefault="00431DAC" w:rsidP="00431DAC">
      <w:pPr>
        <w:pStyle w:val="TEKST1Tre"/>
        <w:numPr>
          <w:ilvl w:val="1"/>
          <w:numId w:val="3"/>
        </w:numPr>
        <w:spacing w:before="0"/>
        <w:rPr>
          <w:rFonts w:cs="Arial"/>
        </w:rPr>
      </w:pPr>
      <w:r w:rsidRPr="00431DAC">
        <w:rPr>
          <w:rFonts w:cs="Arial"/>
        </w:rPr>
        <w:t>pas profilowy,</w:t>
      </w:r>
    </w:p>
    <w:p w:rsidR="00431DAC" w:rsidRPr="00431DAC" w:rsidRDefault="00431DAC" w:rsidP="00431DAC">
      <w:pPr>
        <w:pStyle w:val="TEKST1Tre"/>
        <w:numPr>
          <w:ilvl w:val="1"/>
          <w:numId w:val="3"/>
        </w:numPr>
        <w:spacing w:before="0"/>
        <w:rPr>
          <w:rFonts w:cs="Arial"/>
        </w:rPr>
      </w:pPr>
      <w:r w:rsidRPr="00431DAC">
        <w:rPr>
          <w:rFonts w:cs="Arial"/>
        </w:rPr>
        <w:t>wysięgniki,</w:t>
      </w:r>
    </w:p>
    <w:p w:rsidR="00431DAC" w:rsidRPr="00431DAC" w:rsidRDefault="00431DAC" w:rsidP="00431DAC">
      <w:pPr>
        <w:pStyle w:val="TEKST1Tre"/>
        <w:numPr>
          <w:ilvl w:val="1"/>
          <w:numId w:val="3"/>
        </w:numPr>
        <w:spacing w:before="0"/>
        <w:rPr>
          <w:rFonts w:cs="Arial"/>
        </w:rPr>
      </w:pPr>
      <w:r w:rsidRPr="00431DAC">
        <w:rPr>
          <w:rFonts w:cs="Arial"/>
        </w:rPr>
        <w:t>przekładki, wsporniki, śruby, podkładki, światła odblaskowe,</w:t>
      </w:r>
    </w:p>
    <w:p w:rsidR="00431DAC" w:rsidRPr="00431DAC" w:rsidRDefault="00431DAC" w:rsidP="00431DAC">
      <w:pPr>
        <w:pStyle w:val="TEKST1Tre"/>
        <w:numPr>
          <w:ilvl w:val="1"/>
          <w:numId w:val="3"/>
        </w:numPr>
        <w:spacing w:before="0"/>
        <w:rPr>
          <w:rFonts w:cs="Arial"/>
        </w:rPr>
      </w:pPr>
      <w:r w:rsidRPr="00431DAC">
        <w:rPr>
          <w:rFonts w:cs="Arial"/>
        </w:rPr>
        <w:t>łączniki ukośne,</w:t>
      </w:r>
    </w:p>
    <w:p w:rsidR="00431DAC" w:rsidRPr="00431DAC" w:rsidRDefault="00431DAC" w:rsidP="00431DAC">
      <w:pPr>
        <w:pStyle w:val="TEKST1Tre"/>
        <w:numPr>
          <w:ilvl w:val="1"/>
          <w:numId w:val="3"/>
        </w:numPr>
        <w:spacing w:before="0"/>
        <w:rPr>
          <w:rFonts w:cs="Arial"/>
        </w:rPr>
      </w:pPr>
      <w:r w:rsidRPr="00431DAC">
        <w:rPr>
          <w:rFonts w:cs="Arial"/>
        </w:rPr>
        <w:t>obejmy słupka, itp.</w:t>
      </w:r>
    </w:p>
    <w:p w:rsidR="00431DAC" w:rsidRPr="00431DAC" w:rsidRDefault="00431DAC" w:rsidP="00431DAC">
      <w:pPr>
        <w:pStyle w:val="TEKST1Tre"/>
        <w:spacing w:before="0"/>
        <w:rPr>
          <w:rFonts w:cs="Arial"/>
        </w:rPr>
      </w:pPr>
      <w:r w:rsidRPr="00431DAC">
        <w:rPr>
          <w:rFonts w:cs="Arial"/>
        </w:rPr>
        <w:t>Ponadto przy ustawianiu barier ochronnych stalowych mogą wystąpić materiały do wykonania elementów betonowych, jak fundamenty, kotwy wraz z ich deskowaniem.</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6"/>
        </w:numPr>
        <w:spacing w:before="0"/>
        <w:rPr>
          <w:rFonts w:cs="Arial"/>
        </w:rPr>
      </w:pPr>
      <w:r w:rsidRPr="00431DAC">
        <w:rPr>
          <w:rFonts w:cs="Arial"/>
        </w:rPr>
        <w:t>Elementy do wykonania barier ochronnych stalowych</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2.3.1. Prowadnica</w:t>
      </w:r>
    </w:p>
    <w:p w:rsidR="00431DAC" w:rsidRPr="00431DAC" w:rsidRDefault="00431DAC" w:rsidP="00431DAC">
      <w:pPr>
        <w:pStyle w:val="TEKST1Tre"/>
        <w:spacing w:before="0"/>
        <w:rPr>
          <w:rFonts w:cs="Arial"/>
        </w:rPr>
      </w:pPr>
      <w:r w:rsidRPr="00431DAC">
        <w:rPr>
          <w:rFonts w:cs="Arial"/>
        </w:rPr>
        <w:t>Otwory w prowadnicy i zakończenia odcinków montażowych prowadnicy powinny być zgodne z ofertą producenta.</w:t>
      </w:r>
    </w:p>
    <w:p w:rsidR="00431DAC" w:rsidRPr="00431DAC" w:rsidRDefault="00431DAC" w:rsidP="00431DAC">
      <w:pPr>
        <w:pStyle w:val="TEKST1Tre"/>
        <w:spacing w:before="0"/>
        <w:rPr>
          <w:rFonts w:cs="Arial"/>
        </w:rPr>
      </w:pPr>
      <w:r w:rsidRPr="00431DAC">
        <w:rPr>
          <w:rFonts w:cs="Arial"/>
        </w:rPr>
        <w:t>Powierzchnia prowadnicy powinna być gładka i wolna od widocznych wad, bez ubytków powłoki antykorozyjnej.</w:t>
      </w:r>
    </w:p>
    <w:p w:rsidR="00431DAC" w:rsidRPr="00431DAC" w:rsidRDefault="00431DAC" w:rsidP="00431DAC">
      <w:pPr>
        <w:pStyle w:val="TEKST1Tre"/>
        <w:spacing w:before="0"/>
        <w:rPr>
          <w:rFonts w:cs="Arial"/>
        </w:rPr>
      </w:pPr>
      <w:r w:rsidRPr="00431DAC">
        <w:rPr>
          <w:rFonts w:cs="Arial"/>
        </w:rPr>
        <w:t>Prowadnice mogą być dostarczane luzem lub w wiązkach.</w:t>
      </w:r>
    </w:p>
    <w:p w:rsidR="00431DAC" w:rsidRPr="00431DAC" w:rsidRDefault="00431DAC" w:rsidP="00431DAC">
      <w:pPr>
        <w:pStyle w:val="TEKST1Tre"/>
        <w:spacing w:before="0"/>
        <w:rPr>
          <w:rFonts w:cs="Arial"/>
        </w:rPr>
      </w:pPr>
      <w:r w:rsidRPr="00431DAC">
        <w:rPr>
          <w:rFonts w:cs="Arial"/>
        </w:rPr>
        <w:t>2.3.2. Słupki</w:t>
      </w:r>
    </w:p>
    <w:p w:rsidR="00431DAC" w:rsidRPr="00431DAC" w:rsidRDefault="00431DAC" w:rsidP="00431DAC">
      <w:pPr>
        <w:pStyle w:val="TEKST1Tre"/>
        <w:spacing w:before="0"/>
        <w:rPr>
          <w:rFonts w:cs="Arial"/>
        </w:rPr>
      </w:pPr>
      <w:r w:rsidRPr="00431DAC">
        <w:rPr>
          <w:rFonts w:cs="Arial"/>
        </w:rPr>
        <w:t xml:space="preserve">Słupki wykonuje się zwykle z kształtowników stalowych o przekroju poprzecznym: dwuteowym, ceowym, </w:t>
      </w:r>
      <w:proofErr w:type="spellStart"/>
      <w:r w:rsidRPr="00431DAC">
        <w:rPr>
          <w:rFonts w:cs="Arial"/>
        </w:rPr>
        <w:t>zetowym</w:t>
      </w:r>
      <w:proofErr w:type="spellEnd"/>
      <w:r w:rsidRPr="00431DAC">
        <w:rPr>
          <w:rFonts w:cs="Arial"/>
        </w:rPr>
        <w:t xml:space="preserve"> lub sigma. Wysokość środnika kształtownika wynosi zwykle od 100 do 140 mm.</w:t>
      </w:r>
    </w:p>
    <w:p w:rsidR="00431DAC" w:rsidRPr="00431DAC" w:rsidRDefault="00431DAC" w:rsidP="00431DAC">
      <w:pPr>
        <w:pStyle w:val="TEKST1Tre"/>
        <w:spacing w:before="0"/>
        <w:rPr>
          <w:rFonts w:cs="Arial"/>
        </w:rPr>
      </w:pPr>
      <w:r w:rsidRPr="00431DAC">
        <w:rPr>
          <w:rFonts w:cs="Arial"/>
        </w:rPr>
        <w:t>Kształtowniki powinny odpowiadać wymaganiom PN-H-93010. Powierzchnia kształtownika walcowanego powinna być charakterystyczna dla procesu walcowania i wolna od wad, jak widoczne łuski, pęknięcia, zawalcowania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431DAC" w:rsidRPr="00431DAC" w:rsidRDefault="00431DAC" w:rsidP="00431DAC">
      <w:pPr>
        <w:pStyle w:val="TEKST1Tre"/>
        <w:spacing w:before="0"/>
        <w:rPr>
          <w:rFonts w:cs="Arial"/>
        </w:rPr>
      </w:pPr>
      <w:r w:rsidRPr="00431DAC">
        <w:rPr>
          <w:rFonts w:cs="Arial"/>
        </w:rPr>
        <w:t>Kształtowniki powinny być obcięte prostopadle do osi wzdłużnej kształtownika. Powierzchnia końców kształtownika nie powinna wykazywać rzadzizn, rozwarstwień, pęknięć i śladów jamy skurczowej widocznych nie uzbrojonym okiem.</w:t>
      </w:r>
    </w:p>
    <w:p w:rsidR="00431DAC" w:rsidRPr="00431DAC" w:rsidRDefault="00431DAC" w:rsidP="00431DAC">
      <w:pPr>
        <w:pStyle w:val="TEKST1Tre"/>
        <w:spacing w:before="0"/>
        <w:rPr>
          <w:rFonts w:cs="Arial"/>
        </w:rPr>
      </w:pPr>
      <w:r w:rsidRPr="00431DAC">
        <w:rPr>
          <w:rFonts w:cs="Arial"/>
        </w:rPr>
        <w:t>Kształtowniki powinny być ze stali St3W lub St4W oraz mieć własności mechaniczne według PN-H-84020 (tablica 1) lub innej uzgodnionej stali i normy.</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Tablica 1. Podstawowe własności kształtowników, według PN-H-84020</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3223"/>
        <w:gridCol w:w="3223"/>
      </w:tblGrid>
      <w:tr w:rsidR="00431DAC" w:rsidRPr="00431DAC" w:rsidTr="00397A91">
        <w:trPr>
          <w:jc w:val="center"/>
        </w:trPr>
        <w:tc>
          <w:tcPr>
            <w:tcW w:w="1063" w:type="dxa"/>
            <w:tcBorders>
              <w:bottom w:val="double" w:sz="6" w:space="0" w:color="auto"/>
            </w:tcBorders>
          </w:tcPr>
          <w:p w:rsidR="00431DAC" w:rsidRPr="00431DAC" w:rsidRDefault="00431DAC" w:rsidP="00431DAC">
            <w:pPr>
              <w:spacing w:before="0"/>
              <w:jc w:val="center"/>
              <w:rPr>
                <w:rFonts w:cs="Arial"/>
                <w:color w:val="auto"/>
              </w:rPr>
            </w:pPr>
            <w:r w:rsidRPr="00431DAC">
              <w:rPr>
                <w:rFonts w:cs="Arial"/>
                <w:color w:val="auto"/>
              </w:rPr>
              <w:t>Stal</w:t>
            </w:r>
          </w:p>
        </w:tc>
        <w:tc>
          <w:tcPr>
            <w:tcW w:w="3223" w:type="dxa"/>
            <w:tcBorders>
              <w:bottom w:val="double" w:sz="6" w:space="0" w:color="auto"/>
            </w:tcBorders>
          </w:tcPr>
          <w:p w:rsidR="00431DAC" w:rsidRPr="00431DAC" w:rsidRDefault="00431DAC" w:rsidP="00431DAC">
            <w:pPr>
              <w:spacing w:before="0"/>
              <w:jc w:val="center"/>
              <w:rPr>
                <w:rFonts w:cs="Arial"/>
                <w:color w:val="auto"/>
              </w:rPr>
            </w:pPr>
            <w:r w:rsidRPr="00431DAC">
              <w:rPr>
                <w:rFonts w:cs="Arial"/>
                <w:color w:val="auto"/>
              </w:rPr>
              <w:t xml:space="preserve">Granica plastyczności, </w:t>
            </w:r>
          </w:p>
          <w:p w:rsidR="00431DAC" w:rsidRPr="00431DAC" w:rsidRDefault="00431DAC" w:rsidP="00431DAC">
            <w:pPr>
              <w:spacing w:before="0"/>
              <w:jc w:val="center"/>
              <w:rPr>
                <w:rFonts w:cs="Arial"/>
                <w:color w:val="auto"/>
              </w:rPr>
            </w:pPr>
            <w:r w:rsidRPr="00431DAC">
              <w:rPr>
                <w:rFonts w:cs="Arial"/>
                <w:color w:val="auto"/>
              </w:rPr>
              <w:t xml:space="preserve">minimum dla słupków,    </w:t>
            </w:r>
            <w:proofErr w:type="spellStart"/>
            <w:r w:rsidRPr="00431DAC">
              <w:rPr>
                <w:rFonts w:cs="Arial"/>
                <w:color w:val="auto"/>
              </w:rPr>
              <w:t>MPa</w:t>
            </w:r>
            <w:proofErr w:type="spellEnd"/>
          </w:p>
        </w:tc>
        <w:tc>
          <w:tcPr>
            <w:tcW w:w="3223" w:type="dxa"/>
            <w:tcBorders>
              <w:bottom w:val="double" w:sz="6" w:space="0" w:color="auto"/>
            </w:tcBorders>
          </w:tcPr>
          <w:p w:rsidR="00431DAC" w:rsidRPr="00431DAC" w:rsidRDefault="00431DAC" w:rsidP="00431DAC">
            <w:pPr>
              <w:spacing w:before="0"/>
              <w:jc w:val="center"/>
              <w:rPr>
                <w:rFonts w:cs="Arial"/>
                <w:color w:val="auto"/>
              </w:rPr>
            </w:pPr>
            <w:r w:rsidRPr="00431DAC">
              <w:rPr>
                <w:rFonts w:cs="Arial"/>
                <w:color w:val="auto"/>
              </w:rPr>
              <w:t>Wytrzymałość na rozciąganie</w:t>
            </w:r>
          </w:p>
          <w:p w:rsidR="00431DAC" w:rsidRPr="00431DAC" w:rsidRDefault="00431DAC" w:rsidP="00431DAC">
            <w:pPr>
              <w:spacing w:before="0"/>
              <w:jc w:val="center"/>
              <w:rPr>
                <w:rFonts w:cs="Arial"/>
                <w:color w:val="auto"/>
              </w:rPr>
            </w:pPr>
            <w:r w:rsidRPr="00431DAC">
              <w:rPr>
                <w:rFonts w:cs="Arial"/>
                <w:color w:val="auto"/>
              </w:rPr>
              <w:t xml:space="preserve">dla słupków,   </w:t>
            </w:r>
            <w:proofErr w:type="spellStart"/>
            <w:r w:rsidRPr="00431DAC">
              <w:rPr>
                <w:rFonts w:cs="Arial"/>
                <w:color w:val="auto"/>
              </w:rPr>
              <w:t>MPa</w:t>
            </w:r>
            <w:proofErr w:type="spellEnd"/>
          </w:p>
        </w:tc>
      </w:tr>
      <w:tr w:rsidR="00431DAC" w:rsidRPr="00431DAC" w:rsidTr="00397A91">
        <w:trPr>
          <w:jc w:val="center"/>
        </w:trPr>
        <w:tc>
          <w:tcPr>
            <w:tcW w:w="1063" w:type="dxa"/>
            <w:tcBorders>
              <w:top w:val="nil"/>
            </w:tcBorders>
          </w:tcPr>
          <w:p w:rsidR="00431DAC" w:rsidRPr="00431DAC" w:rsidRDefault="00431DAC" w:rsidP="00431DAC">
            <w:pPr>
              <w:spacing w:before="0"/>
              <w:jc w:val="center"/>
              <w:rPr>
                <w:rFonts w:cs="Arial"/>
                <w:color w:val="auto"/>
              </w:rPr>
            </w:pPr>
            <w:r w:rsidRPr="00431DAC">
              <w:rPr>
                <w:rFonts w:cs="Arial"/>
                <w:color w:val="auto"/>
              </w:rPr>
              <w:t>St3W</w:t>
            </w:r>
          </w:p>
          <w:p w:rsidR="00431DAC" w:rsidRPr="00431DAC" w:rsidRDefault="00431DAC" w:rsidP="00431DAC">
            <w:pPr>
              <w:spacing w:before="0"/>
              <w:jc w:val="center"/>
              <w:rPr>
                <w:rFonts w:cs="Arial"/>
                <w:color w:val="auto"/>
              </w:rPr>
            </w:pPr>
            <w:r w:rsidRPr="00431DAC">
              <w:rPr>
                <w:rFonts w:cs="Arial"/>
                <w:color w:val="auto"/>
              </w:rPr>
              <w:t>St4W</w:t>
            </w:r>
          </w:p>
        </w:tc>
        <w:tc>
          <w:tcPr>
            <w:tcW w:w="3223" w:type="dxa"/>
            <w:tcBorders>
              <w:top w:val="nil"/>
            </w:tcBorders>
          </w:tcPr>
          <w:p w:rsidR="00431DAC" w:rsidRPr="00431DAC" w:rsidRDefault="00431DAC" w:rsidP="00431DAC">
            <w:pPr>
              <w:spacing w:before="0"/>
              <w:jc w:val="center"/>
              <w:rPr>
                <w:rFonts w:cs="Arial"/>
                <w:color w:val="auto"/>
              </w:rPr>
            </w:pPr>
            <w:r w:rsidRPr="00431DAC">
              <w:rPr>
                <w:rFonts w:cs="Arial"/>
                <w:color w:val="auto"/>
              </w:rPr>
              <w:t>195</w:t>
            </w:r>
          </w:p>
          <w:p w:rsidR="00431DAC" w:rsidRPr="00431DAC" w:rsidRDefault="00431DAC" w:rsidP="00431DAC">
            <w:pPr>
              <w:spacing w:before="0"/>
              <w:jc w:val="center"/>
              <w:rPr>
                <w:rFonts w:cs="Arial"/>
                <w:color w:val="auto"/>
              </w:rPr>
            </w:pPr>
            <w:r w:rsidRPr="00431DAC">
              <w:rPr>
                <w:rFonts w:cs="Arial"/>
                <w:color w:val="auto"/>
              </w:rPr>
              <w:t>225</w:t>
            </w:r>
          </w:p>
        </w:tc>
        <w:tc>
          <w:tcPr>
            <w:tcW w:w="3223" w:type="dxa"/>
            <w:tcBorders>
              <w:top w:val="nil"/>
            </w:tcBorders>
          </w:tcPr>
          <w:p w:rsidR="00431DAC" w:rsidRPr="00431DAC" w:rsidRDefault="00431DAC" w:rsidP="00431DAC">
            <w:pPr>
              <w:spacing w:before="0"/>
              <w:jc w:val="center"/>
              <w:rPr>
                <w:rFonts w:cs="Arial"/>
                <w:color w:val="auto"/>
              </w:rPr>
            </w:pPr>
            <w:r w:rsidRPr="00431DAC">
              <w:rPr>
                <w:rFonts w:cs="Arial"/>
                <w:color w:val="auto"/>
              </w:rPr>
              <w:t>od 340 do 490</w:t>
            </w:r>
          </w:p>
          <w:p w:rsidR="00431DAC" w:rsidRPr="00431DAC" w:rsidRDefault="00431DAC" w:rsidP="00431DAC">
            <w:pPr>
              <w:spacing w:before="0"/>
              <w:jc w:val="center"/>
              <w:rPr>
                <w:rFonts w:cs="Arial"/>
                <w:color w:val="auto"/>
              </w:rPr>
            </w:pPr>
            <w:r w:rsidRPr="00431DAC">
              <w:rPr>
                <w:rFonts w:cs="Arial"/>
                <w:color w:val="auto"/>
              </w:rPr>
              <w:t>od 400 do 550</w:t>
            </w:r>
          </w:p>
        </w:tc>
      </w:tr>
    </w:tbl>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2.3.3. Inne elementy bariery</w:t>
      </w:r>
    </w:p>
    <w:p w:rsidR="00431DAC" w:rsidRPr="00431DAC" w:rsidRDefault="00431DAC" w:rsidP="00431DAC">
      <w:pPr>
        <w:pStyle w:val="TEKST1Tre"/>
        <w:spacing w:before="0"/>
        <w:rPr>
          <w:rFonts w:cs="Arial"/>
        </w:rPr>
      </w:pPr>
      <w:r w:rsidRPr="00431DAC">
        <w:rPr>
          <w:rFonts w:cs="Arial"/>
        </w:rPr>
        <w:t>Jeśli Dokumentacja przewiduje stosowanie pasa profilowego, to powinien on odpowiadać PN-H-93461-28 w zakresie wymiarów, masy, wielkości statycznych i odchyłek wymiarów przekroju poprzecznego.</w:t>
      </w:r>
    </w:p>
    <w:p w:rsidR="00431DAC" w:rsidRPr="00431DAC" w:rsidRDefault="00431DAC" w:rsidP="00431DAC">
      <w:pPr>
        <w:pStyle w:val="TEKST1Tre"/>
        <w:spacing w:before="0"/>
        <w:rPr>
          <w:rFonts w:cs="Arial"/>
        </w:rPr>
      </w:pPr>
      <w:r w:rsidRPr="00431DAC">
        <w:rPr>
          <w:rFonts w:cs="Arial"/>
        </w:rPr>
        <w:t>Inne elementy bariery, jak wysięgniki, łączniki ukośne, obejmy słupka, wsporniki, podkładki, przekładki, śruby, światła odblaskowe itp. powinny odpowiadać wymaganiom Dokumentacji i być zgodne z ofertą producenta barier w zakresie wymiarów, odchyłek wymiarów, rozmieszczenia otworów, rodzaju materiału, ew. zabezpieczenia antykorozyjnego itp.</w:t>
      </w:r>
    </w:p>
    <w:p w:rsidR="00431DAC" w:rsidRPr="00431DAC" w:rsidRDefault="00431DAC" w:rsidP="00431DAC">
      <w:pPr>
        <w:pStyle w:val="TEKST1Tre"/>
        <w:spacing w:before="0"/>
        <w:rPr>
          <w:rFonts w:cs="Arial"/>
        </w:rPr>
      </w:pPr>
      <w:r w:rsidRPr="00431DAC">
        <w:rPr>
          <w:rFonts w:cs="Arial"/>
        </w:rPr>
        <w:lastRenderedPageBreak/>
        <w:t>Wszystkie ocynkowane elementy i łączniki przewidziane do mocowania między sobą elementów bariery powinny być czyste, gładkie, bez pęknięć, naderwań, rozwarstwień i wypukłych karbów.</w:t>
      </w:r>
    </w:p>
    <w:p w:rsidR="00431DAC" w:rsidRPr="00431DAC" w:rsidRDefault="00431DAC" w:rsidP="00431DAC">
      <w:pPr>
        <w:pStyle w:val="TEKST1Tre"/>
        <w:spacing w:before="0"/>
        <w:rPr>
          <w:rFonts w:cs="Arial"/>
        </w:rPr>
      </w:pPr>
      <w:r w:rsidRPr="00431DAC">
        <w:rPr>
          <w:rFonts w:cs="Arial"/>
        </w:rPr>
        <w:t>Dostawa większych wymiarowo elementów bariery może być dokonana luzem lub w wiązkach. Śruby, podkładki i drobniejsze elementy łącznikowe mogą być dostarczone w pudełkach tekturowych, pojemnikach blaszanych lub paletach, w zależności od wielkości i masy wyrobów.</w:t>
      </w:r>
    </w:p>
    <w:p w:rsidR="00431DAC" w:rsidRPr="00431DAC" w:rsidRDefault="00431DAC" w:rsidP="00431DAC">
      <w:pPr>
        <w:pStyle w:val="TEKST1Tre"/>
        <w:spacing w:before="0"/>
        <w:rPr>
          <w:rFonts w:cs="Arial"/>
        </w:rPr>
      </w:pPr>
      <w:r w:rsidRPr="00431DAC">
        <w:rPr>
          <w:rFonts w:cs="Arial"/>
        </w:rPr>
        <w:t>Elementy bariery powinny być przechowywane w pomieszczeniach suchych, z dala od materiałów działających korodująco i w warunkach zabezpieczających przed uszkodzeniem.</w:t>
      </w:r>
    </w:p>
    <w:p w:rsidR="00431DAC" w:rsidRPr="00431DAC" w:rsidRDefault="00431DAC" w:rsidP="00431DAC">
      <w:pPr>
        <w:pStyle w:val="TEKST1Tre"/>
        <w:spacing w:before="0"/>
        <w:rPr>
          <w:rFonts w:cs="Arial"/>
        </w:rPr>
      </w:pPr>
      <w:r w:rsidRPr="00431DAC">
        <w:rPr>
          <w:rFonts w:cs="Arial"/>
        </w:rPr>
        <w:t>2.3.4. Zabezpieczenie metalowych elementów bariery przed korozją</w:t>
      </w:r>
    </w:p>
    <w:p w:rsidR="00431DAC" w:rsidRPr="00431DAC" w:rsidRDefault="00431DAC" w:rsidP="00431DAC">
      <w:pPr>
        <w:pStyle w:val="TEKST1Tre"/>
        <w:spacing w:before="0"/>
        <w:rPr>
          <w:rFonts w:cs="Arial"/>
        </w:rPr>
      </w:pPr>
      <w:r w:rsidRPr="00431DAC">
        <w:rPr>
          <w:rFonts w:cs="Arial"/>
        </w:rPr>
        <w:t xml:space="preserve">Sposób zabezpieczenia antykorozyjnego elementów bariery ustala producent w taki sposób, aby zapewnić trwałość powłoki antykorozyjnej przez okres 5 do 10 lat w warunkach normalnych, do co najmniej 3 do 5 lat w środowisku o zwiększonej korozyjności. W przypadku braku wystarczających danych minimalna grubość powłoki cynkowej powinna wynosić 60 </w:t>
      </w:r>
      <w:r w:rsidRPr="00431DAC">
        <w:rPr>
          <w:rFonts w:cs="Arial"/>
        </w:rPr>
        <w:sym w:font="Symbol" w:char="F06D"/>
      </w:r>
      <w:r w:rsidRPr="00431DAC">
        <w:rPr>
          <w:rFonts w:cs="Arial"/>
        </w:rPr>
        <w:t>m.</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6"/>
        </w:numPr>
        <w:spacing w:before="0"/>
        <w:rPr>
          <w:rFonts w:cs="Arial"/>
        </w:rPr>
      </w:pPr>
      <w:r w:rsidRPr="00431DAC">
        <w:rPr>
          <w:rFonts w:cs="Arial"/>
        </w:rPr>
        <w:t>Materiały do wykonania elementów betonowych</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bookmarkStart w:id="2" w:name="_Toc424024072"/>
      <w:r w:rsidRPr="00431DAC">
        <w:rPr>
          <w:rFonts w:cs="Arial"/>
        </w:rPr>
        <w:t>2.4.1. Fundamenty i kotwy wykonane na miejscu budowy</w:t>
      </w:r>
    </w:p>
    <w:p w:rsidR="00431DAC" w:rsidRPr="00431DAC" w:rsidRDefault="00431DAC" w:rsidP="00431DAC">
      <w:pPr>
        <w:pStyle w:val="TEKST1Tre"/>
        <w:spacing w:before="0"/>
        <w:rPr>
          <w:rFonts w:cs="Arial"/>
        </w:rPr>
      </w:pPr>
      <w:r w:rsidRPr="00431DAC">
        <w:rPr>
          <w:rFonts w:cs="Arial"/>
        </w:rPr>
        <w:t>2.4.1.1. Deskowanie</w:t>
      </w:r>
    </w:p>
    <w:p w:rsidR="00431DAC" w:rsidRPr="00431DAC" w:rsidRDefault="00431DAC" w:rsidP="00431DAC">
      <w:pPr>
        <w:pStyle w:val="TEKST1Tre"/>
        <w:spacing w:before="0"/>
        <w:rPr>
          <w:rFonts w:cs="Arial"/>
        </w:rPr>
      </w:pPr>
      <w:r w:rsidRPr="00431DAC">
        <w:rPr>
          <w:rFonts w:cs="Arial"/>
        </w:rPr>
        <w:t>Materiały i sposób wykonania deskowania powinny być zgodne z ustaleniami Wykonawcy i przedstawione do akceptacji Inżyniera. Deskowanie może być wykonane z drewna, z częściowym użyciem materiałów drewnopochodnych lub metalowych, względnie z gotowych elementów o możliwości wielokrotnego użycia i wykonania powtarzalnych układów konstrukcji jako deskowanie przestawne, ślizgowe lub przesuwne, zgodnie z wymaganiami PN-B-06251.</w:t>
      </w:r>
    </w:p>
    <w:p w:rsidR="00431DAC" w:rsidRPr="00431DAC" w:rsidRDefault="00431DAC" w:rsidP="00431DAC">
      <w:pPr>
        <w:pStyle w:val="TEKST1Tre"/>
        <w:spacing w:before="0"/>
        <w:rPr>
          <w:rFonts w:cs="Arial"/>
        </w:rPr>
      </w:pPr>
      <w:r w:rsidRPr="00431DAC">
        <w:rPr>
          <w:rFonts w:cs="Arial"/>
        </w:rPr>
        <w:t>Deskowanie należy wykonać z materiałów odpowiadających wymaganiom norm podanych w p. 10.</w:t>
      </w:r>
    </w:p>
    <w:p w:rsidR="00431DAC" w:rsidRPr="00431DAC" w:rsidRDefault="00431DAC" w:rsidP="00431DAC">
      <w:pPr>
        <w:pStyle w:val="TEKST1Tre"/>
        <w:spacing w:before="0"/>
        <w:rPr>
          <w:rFonts w:cs="Arial"/>
        </w:rPr>
      </w:pPr>
      <w:r w:rsidRPr="00431DAC">
        <w:rPr>
          <w:rFonts w:cs="Arial"/>
        </w:rPr>
        <w:t xml:space="preserve">Dopuszcza się wykonanie </w:t>
      </w:r>
      <w:proofErr w:type="spellStart"/>
      <w:r w:rsidRPr="00431DAC">
        <w:rPr>
          <w:rFonts w:cs="Arial"/>
        </w:rPr>
        <w:t>deskowań</w:t>
      </w:r>
      <w:proofErr w:type="spellEnd"/>
      <w:r w:rsidRPr="00431DAC">
        <w:rPr>
          <w:rFonts w:cs="Arial"/>
        </w:rPr>
        <w:t xml:space="preserve"> z innych materiałów, pod warunkiem akceptacji Inżyniera.</w:t>
      </w:r>
    </w:p>
    <w:p w:rsidR="00431DAC" w:rsidRPr="00431DAC" w:rsidRDefault="00431DAC" w:rsidP="00431DAC">
      <w:pPr>
        <w:pStyle w:val="TEKST1Tre"/>
        <w:spacing w:before="0"/>
        <w:rPr>
          <w:rFonts w:cs="Arial"/>
        </w:rPr>
      </w:pPr>
      <w:r w:rsidRPr="00431DAC">
        <w:rPr>
          <w:rFonts w:cs="Arial"/>
        </w:rPr>
        <w:t>2.4.1.2. Beton i jego składniki</w:t>
      </w:r>
    </w:p>
    <w:p w:rsidR="00431DAC" w:rsidRPr="00431DAC" w:rsidRDefault="00431DAC" w:rsidP="00431DAC">
      <w:pPr>
        <w:pStyle w:val="TEKST1Tre"/>
        <w:spacing w:before="0"/>
        <w:rPr>
          <w:rFonts w:cs="Arial"/>
        </w:rPr>
      </w:pPr>
      <w:r w:rsidRPr="00431DAC">
        <w:rPr>
          <w:rFonts w:cs="Arial"/>
        </w:rPr>
        <w:t>Właściwości betonu do wykonania betonowych fundamentów lub kotew powinny być zgodne z Dokumentacją Projektową z tym, że klasa betonu nie powinna być niższa niż klasa C12/15 (B 15), nasiąkliwość powinna być nie większa niż 5%, stopień wodoszczelności - co najmniej W2, a stopień mrozoodporności - co najmniej F 50, zgodnie z wymaganiami PN-B-06250.</w:t>
      </w:r>
    </w:p>
    <w:p w:rsidR="00431DAC" w:rsidRPr="00431DAC" w:rsidRDefault="00431DAC" w:rsidP="00431DAC">
      <w:pPr>
        <w:pStyle w:val="TEKST1Tre"/>
        <w:spacing w:before="0"/>
        <w:rPr>
          <w:rFonts w:cs="Arial"/>
        </w:rPr>
      </w:pPr>
      <w:r w:rsidRPr="00431DAC">
        <w:rPr>
          <w:rFonts w:cs="Arial"/>
        </w:rPr>
        <w:t>Cement stosowany do betonu powinien być cementem portlandzkim klasy, co najmniej „32,5” i powinien spełniać wymagania PN-EN 197-1:2002</w:t>
      </w:r>
    </w:p>
    <w:p w:rsidR="00431DAC" w:rsidRPr="00431DAC" w:rsidRDefault="00431DAC" w:rsidP="00431DAC">
      <w:pPr>
        <w:pStyle w:val="TEKST1Tre"/>
        <w:spacing w:before="0"/>
        <w:rPr>
          <w:rFonts w:cs="Arial"/>
        </w:rPr>
      </w:pPr>
      <w:r w:rsidRPr="00431DAC">
        <w:rPr>
          <w:rFonts w:cs="Arial"/>
        </w:rPr>
        <w:t>Kruszywo do betonu (piasek, grys, żwir, mieszanka z kruszywa naturalnego sortowanego, kruszywo łamane) powinny spełniać wymagania PN-B-06712.</w:t>
      </w:r>
    </w:p>
    <w:p w:rsidR="00431DAC" w:rsidRPr="00431DAC" w:rsidRDefault="00431DAC" w:rsidP="00431DAC">
      <w:pPr>
        <w:pStyle w:val="TEKST1Tre"/>
        <w:spacing w:before="0"/>
        <w:rPr>
          <w:rFonts w:cs="Arial"/>
        </w:rPr>
      </w:pPr>
      <w:r w:rsidRPr="00431DAC">
        <w:rPr>
          <w:rFonts w:cs="Arial"/>
        </w:rPr>
        <w:t>Woda powinna i spełniać wymagania PN-EN-1008. Bez badań laboratoryjnych można stosować wodę pitną.</w:t>
      </w:r>
    </w:p>
    <w:p w:rsidR="00431DAC" w:rsidRPr="00431DAC" w:rsidRDefault="00431DAC" w:rsidP="00431DAC">
      <w:pPr>
        <w:pStyle w:val="TEKST1Tre"/>
        <w:spacing w:before="0"/>
        <w:rPr>
          <w:rFonts w:cs="Arial"/>
        </w:rPr>
      </w:pPr>
      <w:r w:rsidRPr="00431DAC">
        <w:rPr>
          <w:rFonts w:cs="Arial"/>
        </w:rPr>
        <w:t xml:space="preserve">Domieszki chemiczne do betonu powinny być stosowane, jeśli przewidują to Dokumentacja Projektowa, </w:t>
      </w:r>
      <w:proofErr w:type="spellStart"/>
      <w:r w:rsidRPr="00431DAC">
        <w:rPr>
          <w:rFonts w:cs="Arial"/>
        </w:rPr>
        <w:t>STWiORB</w:t>
      </w:r>
      <w:proofErr w:type="spellEnd"/>
      <w:r w:rsidRPr="00431DAC">
        <w:rPr>
          <w:rFonts w:cs="Arial"/>
        </w:rPr>
        <w:t xml:space="preserve"> lub wskazania Inżyniera, przy czym w przypadku braku danych dotyczących rodzaju domieszek, ich dobór powinien być dokonany zgodnie z zaleceniami PN-B-06250. Domieszki powinny spełniać wymagania PN-EN-934-2.</w:t>
      </w:r>
    </w:p>
    <w:p w:rsidR="00431DAC" w:rsidRPr="00431DAC" w:rsidRDefault="00431DAC" w:rsidP="00431DAC">
      <w:pPr>
        <w:pStyle w:val="TEKST1Tre"/>
        <w:spacing w:before="0"/>
        <w:rPr>
          <w:rFonts w:cs="Arial"/>
        </w:rPr>
      </w:pPr>
      <w:r w:rsidRPr="00431DAC">
        <w:rPr>
          <w:rFonts w:cs="Arial"/>
        </w:rPr>
        <w:t>Pręty zbrojenia mogą być stosowane, jeśli przewiduje je Dokumentacja Projektowa. Pręty zbrojenia powinny odpowiadać PN-B-06251. Stal dostarczona na budowę powinna być zaopatrzona w zaświadczenie (atest) stwierdzające jej gatunek. Właściwości mechaniczne stali używanej do zbrojenia betonu powinny odpowiadać PN-B-03264.</w:t>
      </w:r>
    </w:p>
    <w:p w:rsidR="00431DAC" w:rsidRPr="00431DAC" w:rsidRDefault="00431DAC" w:rsidP="00431DAC">
      <w:pPr>
        <w:pStyle w:val="TEKST1Tre"/>
        <w:spacing w:before="0"/>
        <w:rPr>
          <w:rFonts w:cs="Arial"/>
        </w:rPr>
      </w:pPr>
      <w:r w:rsidRPr="00431DAC">
        <w:rPr>
          <w:rFonts w:cs="Arial"/>
        </w:rPr>
        <w:t>2.4.2. Elementy prefabrykowane z betonu</w:t>
      </w:r>
    </w:p>
    <w:p w:rsidR="00431DAC" w:rsidRPr="00431DAC" w:rsidRDefault="00431DAC" w:rsidP="00431DAC">
      <w:pPr>
        <w:pStyle w:val="TEKST1Tre"/>
        <w:spacing w:before="0"/>
        <w:rPr>
          <w:rFonts w:cs="Arial"/>
        </w:rPr>
      </w:pPr>
      <w:r w:rsidRPr="00431DAC">
        <w:rPr>
          <w:rFonts w:cs="Arial"/>
        </w:rPr>
        <w:t>Kształt i wymiary przekroju poprzecznego betonowych elementów prefabrykowanych (fundamentów, kotew) powinny być zgodne z Dokumentacją Projektową.</w:t>
      </w:r>
    </w:p>
    <w:p w:rsidR="00431DAC" w:rsidRPr="00431DAC" w:rsidRDefault="00431DAC" w:rsidP="00431DAC">
      <w:pPr>
        <w:pStyle w:val="TEKST1Tre"/>
        <w:spacing w:before="0"/>
        <w:rPr>
          <w:rFonts w:cs="Arial"/>
        </w:rPr>
      </w:pPr>
      <w:r w:rsidRPr="00431DAC">
        <w:rPr>
          <w:rFonts w:cs="Arial"/>
        </w:rPr>
        <w:t>Powierzchnie elementów powinny być bez rys, pęknięć i ubytków betonu. Krawędzie elementów powinny być równe i proste.</w:t>
      </w:r>
    </w:p>
    <w:p w:rsidR="00431DAC" w:rsidRPr="00431DAC" w:rsidRDefault="00431DAC" w:rsidP="00431DAC">
      <w:pPr>
        <w:pStyle w:val="TEKST1Tre"/>
        <w:spacing w:before="0"/>
        <w:rPr>
          <w:rFonts w:cs="Arial"/>
        </w:rPr>
      </w:pPr>
      <w:r w:rsidRPr="00431DAC">
        <w:rPr>
          <w:rFonts w:cs="Arial"/>
        </w:rPr>
        <w:t>Dopuszczalne wady oraz uszkodzenia powierzchni i krawędzi elementów nie powinny przekraczać wartości podanych w BN-80/6775-03.01.</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6"/>
        </w:numPr>
        <w:spacing w:before="0"/>
        <w:rPr>
          <w:rFonts w:cs="Arial"/>
        </w:rPr>
      </w:pPr>
      <w:r w:rsidRPr="00431DAC">
        <w:rPr>
          <w:rFonts w:cs="Arial"/>
        </w:rPr>
        <w:t>Składowanie materiałów</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Elementy dłuższe barier mogą być składowane pod zadaszeniem lub na otwartej przestrzeni, na podłożu wyrównanym i odwodnionym, przy czym elementy poszczególnych typów należy układać oddzielnie z ewentualnym zastosowaniem podkładek. Elementy montażowe i połączeniowe można składować w pojemnikach handlowych producenta.</w:t>
      </w:r>
    </w:p>
    <w:p w:rsidR="00431DAC" w:rsidRPr="00431DAC" w:rsidRDefault="00431DAC" w:rsidP="00431DAC">
      <w:pPr>
        <w:pStyle w:val="TEKST1Tre"/>
        <w:spacing w:before="0"/>
        <w:rPr>
          <w:rFonts w:cs="Arial"/>
        </w:rPr>
      </w:pPr>
      <w:r w:rsidRPr="00431DAC">
        <w:rPr>
          <w:rFonts w:cs="Arial"/>
        </w:rPr>
        <w:t xml:space="preserve">Składowanie kruszywa powinno odbywać się w warunkach zabezpieczających je przed zanieczyszczeniem i zmieszaniem z innymi asortymentami kruszywa lub jego frakcjami. Zaleca się, aby drobne frakcje kruszywa były chronione za pomocą plandek lub zadaszeń. Podłoże składowiska musi </w:t>
      </w:r>
      <w:r w:rsidRPr="00431DAC">
        <w:rPr>
          <w:rFonts w:cs="Arial"/>
        </w:rPr>
        <w:lastRenderedPageBreak/>
        <w:t>być równe, utwardzone i dobrze odwodnione, aby nie dopuścić do zanieczyszczenia kruszywa w trakcie składowania.</w:t>
      </w:r>
    </w:p>
    <w:p w:rsidR="00431DAC" w:rsidRPr="00431DAC" w:rsidRDefault="00431DAC" w:rsidP="00431DAC">
      <w:pPr>
        <w:pStyle w:val="TEKST1Tre"/>
        <w:spacing w:before="0"/>
        <w:rPr>
          <w:rFonts w:cs="Arial"/>
        </w:rPr>
      </w:pPr>
      <w:r w:rsidRPr="00431DAC">
        <w:rPr>
          <w:rFonts w:cs="Arial"/>
        </w:rPr>
        <w:t>Przechowywanie cementu powinno być zgodne z ustaleniami BN-88/6731-08.</w:t>
      </w:r>
    </w:p>
    <w:p w:rsidR="00431DAC" w:rsidRPr="00431DAC" w:rsidRDefault="00431DAC" w:rsidP="00431DAC">
      <w:pPr>
        <w:pStyle w:val="TEKST1Tre"/>
        <w:spacing w:before="0"/>
        <w:rPr>
          <w:rFonts w:cs="Arial"/>
        </w:rPr>
      </w:pPr>
      <w:r w:rsidRPr="00431DAC">
        <w:rPr>
          <w:rFonts w:cs="Arial"/>
        </w:rPr>
        <w:t>Inne materiały należy przechowywać w sposób zgodny z zaleceniami producenta.</w:t>
      </w:r>
    </w:p>
    <w:p w:rsidR="00431DAC" w:rsidRPr="00431DAC" w:rsidRDefault="00431DAC" w:rsidP="00431DAC">
      <w:pPr>
        <w:pStyle w:val="TEKST1Tre"/>
        <w:spacing w:before="0"/>
        <w:rPr>
          <w:rFonts w:cs="Arial"/>
        </w:rPr>
      </w:pPr>
    </w:p>
    <w:p w:rsidR="00431DAC" w:rsidRPr="00431DAC" w:rsidRDefault="00431DAC" w:rsidP="00431DAC">
      <w:pPr>
        <w:pStyle w:val="PUNKTY11"/>
        <w:numPr>
          <w:ilvl w:val="0"/>
          <w:numId w:val="12"/>
        </w:numPr>
        <w:spacing w:before="0"/>
        <w:rPr>
          <w:rFonts w:cs="Arial"/>
        </w:rPr>
      </w:pPr>
      <w:r w:rsidRPr="00431DAC">
        <w:rPr>
          <w:rFonts w:cs="Arial"/>
        </w:rPr>
        <w:t>Sprzęt</w:t>
      </w:r>
      <w:bookmarkEnd w:id="2"/>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4"/>
        </w:numPr>
        <w:spacing w:before="0"/>
        <w:rPr>
          <w:rFonts w:cs="Arial"/>
        </w:rPr>
      </w:pPr>
      <w:r w:rsidRPr="00431DAC">
        <w:rPr>
          <w:rFonts w:cs="Arial"/>
        </w:rPr>
        <w:t>Ogólne wymagania dotyczące sprzętu</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wymagania dotyczące sprzętu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4"/>
        </w:numPr>
        <w:spacing w:before="0"/>
        <w:rPr>
          <w:rFonts w:cs="Arial"/>
        </w:rPr>
      </w:pPr>
      <w:r w:rsidRPr="00431DAC">
        <w:rPr>
          <w:rFonts w:cs="Arial"/>
        </w:rPr>
        <w:t>Sprzęt do wykonania barier</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Wykonawca przystępujący do wykonania barier ochronnych stalowych powinien wykazać się możliwością korzystania z następującego sprzętu:</w:t>
      </w:r>
    </w:p>
    <w:p w:rsidR="00431DAC" w:rsidRPr="00431DAC" w:rsidRDefault="00431DAC" w:rsidP="00431DAC">
      <w:pPr>
        <w:pStyle w:val="TEKST1Tre"/>
        <w:numPr>
          <w:ilvl w:val="1"/>
          <w:numId w:val="3"/>
        </w:numPr>
        <w:spacing w:before="0"/>
        <w:rPr>
          <w:rFonts w:cs="Arial"/>
        </w:rPr>
      </w:pPr>
      <w:bookmarkStart w:id="3" w:name="_Toc424024073"/>
      <w:r w:rsidRPr="00431DAC">
        <w:rPr>
          <w:rFonts w:cs="Arial"/>
        </w:rPr>
        <w:t>zestawu sprzętu specjalistycznego do montażu barier,</w:t>
      </w:r>
    </w:p>
    <w:p w:rsidR="00431DAC" w:rsidRPr="00431DAC" w:rsidRDefault="00431DAC" w:rsidP="00431DAC">
      <w:pPr>
        <w:pStyle w:val="TEKST1Tre"/>
        <w:numPr>
          <w:ilvl w:val="1"/>
          <w:numId w:val="3"/>
        </w:numPr>
        <w:spacing w:before="0"/>
        <w:rPr>
          <w:rFonts w:cs="Arial"/>
        </w:rPr>
      </w:pPr>
      <w:r w:rsidRPr="00431DAC">
        <w:rPr>
          <w:rFonts w:cs="Arial"/>
        </w:rPr>
        <w:t>żurawi samochodowych o udźwigu do 4 t,</w:t>
      </w:r>
    </w:p>
    <w:p w:rsidR="00431DAC" w:rsidRPr="00431DAC" w:rsidRDefault="00431DAC" w:rsidP="00431DAC">
      <w:pPr>
        <w:pStyle w:val="TEKST1Tre"/>
        <w:numPr>
          <w:ilvl w:val="1"/>
          <w:numId w:val="3"/>
        </w:numPr>
        <w:spacing w:before="0"/>
        <w:rPr>
          <w:rFonts w:cs="Arial"/>
        </w:rPr>
      </w:pPr>
      <w:r w:rsidRPr="00431DAC">
        <w:rPr>
          <w:rFonts w:cs="Arial"/>
        </w:rPr>
        <w:t>wiertnic do wykonywania otworów pod słupki,</w:t>
      </w:r>
    </w:p>
    <w:p w:rsidR="00431DAC" w:rsidRPr="00431DAC" w:rsidRDefault="00431DAC" w:rsidP="00431DAC">
      <w:pPr>
        <w:pStyle w:val="TEKST1Tre"/>
        <w:numPr>
          <w:ilvl w:val="1"/>
          <w:numId w:val="3"/>
        </w:numPr>
        <w:spacing w:before="0"/>
        <w:rPr>
          <w:rFonts w:cs="Arial"/>
        </w:rPr>
      </w:pPr>
      <w:r w:rsidRPr="00431DAC">
        <w:rPr>
          <w:rFonts w:cs="Arial"/>
        </w:rPr>
        <w:t>koparek kołowych,</w:t>
      </w:r>
    </w:p>
    <w:p w:rsidR="00431DAC" w:rsidRPr="00431DAC" w:rsidRDefault="00431DAC" w:rsidP="00431DAC">
      <w:pPr>
        <w:pStyle w:val="TEKST1Tre"/>
        <w:numPr>
          <w:ilvl w:val="1"/>
          <w:numId w:val="3"/>
        </w:numPr>
        <w:spacing w:before="0"/>
        <w:rPr>
          <w:rFonts w:cs="Arial"/>
        </w:rPr>
      </w:pPr>
      <w:r w:rsidRPr="00431DAC">
        <w:rPr>
          <w:rFonts w:cs="Arial"/>
        </w:rPr>
        <w:t>urządzeń wbijających lub wibromłotów do pogrążania słupków w grunt,</w:t>
      </w:r>
    </w:p>
    <w:p w:rsidR="00431DAC" w:rsidRPr="00431DAC" w:rsidRDefault="00431DAC" w:rsidP="00431DAC">
      <w:pPr>
        <w:pStyle w:val="TEKST1Tre"/>
        <w:numPr>
          <w:ilvl w:val="1"/>
          <w:numId w:val="3"/>
        </w:numPr>
        <w:spacing w:before="0"/>
        <w:rPr>
          <w:rFonts w:cs="Arial"/>
        </w:rPr>
      </w:pPr>
      <w:r w:rsidRPr="00431DAC">
        <w:rPr>
          <w:rFonts w:cs="Arial"/>
        </w:rPr>
        <w:t>betoniarki przewoźnej,</w:t>
      </w:r>
    </w:p>
    <w:p w:rsidR="00431DAC" w:rsidRPr="00431DAC" w:rsidRDefault="00431DAC" w:rsidP="00431DAC">
      <w:pPr>
        <w:pStyle w:val="TEKST1Tre"/>
        <w:numPr>
          <w:ilvl w:val="1"/>
          <w:numId w:val="3"/>
        </w:numPr>
        <w:spacing w:before="0"/>
        <w:rPr>
          <w:rFonts w:cs="Arial"/>
        </w:rPr>
      </w:pPr>
      <w:r w:rsidRPr="00431DAC">
        <w:rPr>
          <w:rFonts w:cs="Arial"/>
        </w:rPr>
        <w:t>wibratorów do betonu,</w:t>
      </w:r>
    </w:p>
    <w:p w:rsidR="00431DAC" w:rsidRPr="00431DAC" w:rsidRDefault="00431DAC" w:rsidP="00431DAC">
      <w:pPr>
        <w:pStyle w:val="TEKST1Tre"/>
        <w:numPr>
          <w:ilvl w:val="1"/>
          <w:numId w:val="3"/>
        </w:numPr>
        <w:spacing w:before="0"/>
        <w:rPr>
          <w:rFonts w:cs="Arial"/>
        </w:rPr>
      </w:pPr>
      <w:r w:rsidRPr="00431DAC">
        <w:rPr>
          <w:rFonts w:cs="Arial"/>
        </w:rPr>
        <w:t>przewoźnego zbiornika na wodę,</w:t>
      </w:r>
    </w:p>
    <w:p w:rsidR="00431DAC" w:rsidRPr="00431DAC" w:rsidRDefault="00431DAC" w:rsidP="00431DAC">
      <w:pPr>
        <w:pStyle w:val="TEKST1Tre"/>
        <w:numPr>
          <w:ilvl w:val="1"/>
          <w:numId w:val="3"/>
        </w:numPr>
        <w:spacing w:before="0"/>
        <w:rPr>
          <w:rFonts w:cs="Arial"/>
        </w:rPr>
      </w:pPr>
      <w:r w:rsidRPr="00431DAC">
        <w:rPr>
          <w:rFonts w:cs="Arial"/>
        </w:rPr>
        <w:t>ładowarki,</w:t>
      </w:r>
    </w:p>
    <w:p w:rsidR="00431DAC" w:rsidRPr="00431DAC" w:rsidRDefault="00431DAC" w:rsidP="00431DAC">
      <w:pPr>
        <w:pStyle w:val="TEKST1Tre"/>
        <w:numPr>
          <w:ilvl w:val="1"/>
          <w:numId w:val="3"/>
        </w:numPr>
        <w:spacing w:before="0"/>
        <w:rPr>
          <w:rFonts w:cs="Arial"/>
        </w:rPr>
      </w:pPr>
      <w:r w:rsidRPr="00431DAC">
        <w:rPr>
          <w:rFonts w:cs="Arial"/>
        </w:rPr>
        <w:t>innego sprzętu zaakceptowanego przez Inżyniera.</w:t>
      </w:r>
    </w:p>
    <w:p w:rsidR="00431DAC" w:rsidRPr="00431DAC" w:rsidRDefault="00431DAC" w:rsidP="00431DAC">
      <w:pPr>
        <w:pStyle w:val="TEKST1Tre"/>
        <w:spacing w:before="0"/>
        <w:ind w:left="1440"/>
        <w:rPr>
          <w:rFonts w:cs="Arial"/>
        </w:rPr>
      </w:pPr>
    </w:p>
    <w:p w:rsidR="00431DAC" w:rsidRPr="00431DAC" w:rsidRDefault="00431DAC" w:rsidP="00431DAC">
      <w:pPr>
        <w:pStyle w:val="PUNKTY11"/>
        <w:numPr>
          <w:ilvl w:val="0"/>
          <w:numId w:val="12"/>
        </w:numPr>
        <w:spacing w:before="0"/>
        <w:rPr>
          <w:rFonts w:cs="Arial"/>
        </w:rPr>
      </w:pPr>
      <w:r w:rsidRPr="00431DAC">
        <w:rPr>
          <w:rFonts w:cs="Arial"/>
        </w:rPr>
        <w:t>Transport</w:t>
      </w:r>
      <w:bookmarkEnd w:id="3"/>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5"/>
        </w:numPr>
        <w:spacing w:before="0"/>
        <w:rPr>
          <w:rFonts w:cs="Arial"/>
        </w:rPr>
      </w:pPr>
      <w:r w:rsidRPr="00431DAC">
        <w:rPr>
          <w:rFonts w:cs="Arial"/>
        </w:rPr>
        <w:t>Ogólne wymagania dotyczące transportu</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wymagania dotyczące transportu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5"/>
        </w:numPr>
        <w:spacing w:before="0"/>
        <w:rPr>
          <w:rFonts w:cs="Arial"/>
        </w:rPr>
      </w:pPr>
      <w:r w:rsidRPr="00431DAC">
        <w:rPr>
          <w:rFonts w:cs="Arial"/>
        </w:rPr>
        <w:t>Transport elementów barier stalowych</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Transport elementów barier może odbywać się dowolnym środkiem transportu. Elementy konstrukcyjne barier nie powinny wystawać poza gabaryt środka transportu. Elementy dłuższe (np. profilowaną taśmę stalową, pasy profilowe) należy przewozić w opakowaniach producenta. Elementy montażowe i połączeniowe zaleca się przewozić w pojemnikach handlowych producenta.</w:t>
      </w:r>
    </w:p>
    <w:p w:rsidR="00431DAC" w:rsidRPr="00431DAC" w:rsidRDefault="00431DAC" w:rsidP="00431DAC">
      <w:pPr>
        <w:pStyle w:val="TEKST1Tre"/>
        <w:spacing w:before="0"/>
        <w:rPr>
          <w:rFonts w:cs="Arial"/>
        </w:rPr>
      </w:pPr>
      <w:r w:rsidRPr="00431DAC">
        <w:rPr>
          <w:rFonts w:cs="Arial"/>
        </w:rPr>
        <w:t>Załadunek i wyładunek elementów konstrukcji barier można dokonywać za pomocą żurawi lub ręcznie. Przy załadunku i wyładunku, należy zabezpieczyć elementy konstrukcji przed pomieszaniem. Elementy barier należy przewozić w warunkach zabezpieczających wyroby przed korozją i uszkodzeniami mechanicznymi.</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5"/>
        </w:numPr>
        <w:spacing w:before="0"/>
        <w:rPr>
          <w:rFonts w:cs="Arial"/>
        </w:rPr>
      </w:pPr>
      <w:r w:rsidRPr="00431DAC">
        <w:rPr>
          <w:rFonts w:cs="Arial"/>
        </w:rPr>
        <w:t>Transport materiałów do wykonania elementów betonowych</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Kruszywo do betonu można przewozić dowolnym środkiem transportu w warunkach zabezpieczających je przed zanieczyszczeniem i zmieszaniem z innymi materiałami. Podczas transportu kruszywa powinny być zabezpieczone przed wysypaniem, a kruszywo drobne - przed rozpyleniem.</w:t>
      </w:r>
    </w:p>
    <w:p w:rsidR="00431DAC" w:rsidRPr="00431DAC" w:rsidRDefault="00431DAC" w:rsidP="00431DAC">
      <w:pPr>
        <w:pStyle w:val="TEKST1Tre"/>
        <w:spacing w:before="0"/>
        <w:rPr>
          <w:rFonts w:cs="Arial"/>
        </w:rPr>
      </w:pPr>
      <w:r w:rsidRPr="00431DAC">
        <w:rPr>
          <w:rFonts w:cs="Arial"/>
        </w:rPr>
        <w:t>Elementy prefabrykowane fundamentów mogą być przewożone dowolnymi środkami transportowymi w liczbie sztuk nieprzekraczającej dopuszczalnego obciążenia zastosowanego środka transportu. Rozmieszczenie elementów na środku transportu powinno być symetryczne. Elementy należy układać na podkładach drewnianych.</w:t>
      </w:r>
    </w:p>
    <w:p w:rsidR="00431DAC" w:rsidRPr="00431DAC" w:rsidRDefault="00431DAC" w:rsidP="00431DAC">
      <w:pPr>
        <w:pStyle w:val="TEKST1Tre"/>
        <w:spacing w:before="0"/>
        <w:rPr>
          <w:rFonts w:cs="Arial"/>
        </w:rPr>
      </w:pPr>
      <w:r w:rsidRPr="00431DAC">
        <w:rPr>
          <w:rFonts w:cs="Arial"/>
        </w:rPr>
        <w:t>Drewno i elementy deskowania należy przewozić w warunkach chroniących je przed przemieszczaniem, a elementy metalowe w warunkach zabezpieczających przed korozją i uszkodzeniami mechanicznymi.</w:t>
      </w:r>
    </w:p>
    <w:p w:rsidR="00431DAC" w:rsidRPr="00431DAC" w:rsidRDefault="00431DAC" w:rsidP="00431DAC">
      <w:pPr>
        <w:pStyle w:val="TEKST1Tre"/>
        <w:spacing w:before="0"/>
        <w:rPr>
          <w:rFonts w:cs="Arial"/>
        </w:rPr>
      </w:pPr>
      <w:r w:rsidRPr="00431DAC">
        <w:rPr>
          <w:rFonts w:cs="Arial"/>
        </w:rPr>
        <w:t>Cement należy przewozić zgodnie z postanowieniami BN-88/6731-08.</w:t>
      </w:r>
    </w:p>
    <w:p w:rsidR="00431DAC" w:rsidRPr="00431DAC" w:rsidRDefault="00431DAC" w:rsidP="00431DAC">
      <w:pPr>
        <w:pStyle w:val="TEKST1Tre"/>
        <w:spacing w:before="0"/>
        <w:rPr>
          <w:rFonts w:cs="Arial"/>
        </w:rPr>
      </w:pPr>
      <w:r w:rsidRPr="00431DAC">
        <w:rPr>
          <w:rFonts w:cs="Arial"/>
        </w:rPr>
        <w:t>Mieszankę betonową należy przewozić zgodnie z postanowieniami PN-B-06251.</w:t>
      </w:r>
    </w:p>
    <w:p w:rsidR="00431DAC" w:rsidRPr="00431DAC" w:rsidRDefault="00431DAC" w:rsidP="00431DAC">
      <w:pPr>
        <w:pStyle w:val="TEKST1Tre"/>
        <w:spacing w:before="0"/>
        <w:rPr>
          <w:rFonts w:cs="Arial"/>
        </w:rPr>
      </w:pPr>
      <w:r w:rsidRPr="00431DAC">
        <w:rPr>
          <w:rFonts w:cs="Arial"/>
        </w:rPr>
        <w:t>Stal zbrojeniową można przewozić dowolnym środkiem transportu, luzem lub w wiązkach, w warunkach chroniących ją przed pomieszaniem i przed korozją.</w:t>
      </w:r>
    </w:p>
    <w:p w:rsidR="00431DAC" w:rsidRPr="00431DAC" w:rsidRDefault="00431DAC" w:rsidP="00431DAC">
      <w:pPr>
        <w:pStyle w:val="TEKST1Tre"/>
        <w:spacing w:before="0"/>
        <w:rPr>
          <w:rFonts w:cs="Arial"/>
        </w:rPr>
      </w:pPr>
    </w:p>
    <w:p w:rsidR="00431DAC" w:rsidRPr="00431DAC" w:rsidRDefault="00431DAC" w:rsidP="00431DAC">
      <w:pPr>
        <w:pStyle w:val="PUNKTY11"/>
        <w:numPr>
          <w:ilvl w:val="0"/>
          <w:numId w:val="12"/>
        </w:numPr>
        <w:spacing w:before="0"/>
        <w:rPr>
          <w:rFonts w:cs="Arial"/>
        </w:rPr>
      </w:pPr>
      <w:bookmarkStart w:id="4" w:name="_Toc424024074"/>
      <w:r w:rsidRPr="00431DAC">
        <w:rPr>
          <w:rFonts w:cs="Arial"/>
        </w:rPr>
        <w:lastRenderedPageBreak/>
        <w:t>Wykonanie robót</w:t>
      </w:r>
      <w:bookmarkEnd w:id="4"/>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7"/>
        </w:numPr>
        <w:spacing w:before="0"/>
        <w:rPr>
          <w:rFonts w:cs="Arial"/>
        </w:rPr>
      </w:pPr>
      <w:r w:rsidRPr="00431DAC">
        <w:rPr>
          <w:rFonts w:cs="Arial"/>
        </w:rPr>
        <w:t>Ogólne zasady wykonania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zasady wykonania robót podano w ST D.00.00.00 „Wymagania ogólne”.</w:t>
      </w:r>
    </w:p>
    <w:p w:rsidR="00431DAC" w:rsidRPr="00431DAC" w:rsidRDefault="00431DAC" w:rsidP="00431DAC">
      <w:pPr>
        <w:pStyle w:val="TEKST1Tre"/>
        <w:spacing w:before="0"/>
        <w:rPr>
          <w:rFonts w:cs="Arial"/>
        </w:rPr>
      </w:pPr>
      <w:r w:rsidRPr="00431DAC">
        <w:rPr>
          <w:rFonts w:cs="Arial"/>
        </w:rPr>
        <w:t>Wykonawca przedstawi Inżynierowi do akceptacji Projekt Technologii i Organizacji Robót oraz Program Zapewnienia Jakości uwzględniający wszystkie warunki, w jakich będą wykonywane Roboty.</w:t>
      </w:r>
    </w:p>
    <w:p w:rsidR="00431DAC" w:rsidRPr="00431DAC" w:rsidRDefault="00431DAC" w:rsidP="00431DAC">
      <w:pPr>
        <w:pStyle w:val="TEKST1Tre"/>
        <w:spacing w:before="0"/>
        <w:rPr>
          <w:rFonts w:cs="Arial"/>
        </w:rPr>
      </w:pPr>
      <w:r w:rsidRPr="00431DAC">
        <w:rPr>
          <w:rFonts w:cs="Arial"/>
        </w:rPr>
        <w:t>Wykonawca jest zobowiązany do zastosowania barier ochronnych, które odpowiadają wymaganiom normy PN-EN 1317.</w:t>
      </w:r>
    </w:p>
    <w:p w:rsidR="00431DAC" w:rsidRPr="00431DAC" w:rsidRDefault="00431DAC" w:rsidP="00431DAC">
      <w:pPr>
        <w:pStyle w:val="TEKST1Tre"/>
        <w:spacing w:before="0"/>
        <w:rPr>
          <w:rFonts w:cs="Arial"/>
        </w:rPr>
      </w:pPr>
      <w:r w:rsidRPr="00431DAC">
        <w:rPr>
          <w:rFonts w:cs="Arial"/>
        </w:rPr>
        <w:t>Bariery oznakowane znakiem CE powinny spełniać podstawowe parametry funkcjonalne podane poniżej:</w:t>
      </w:r>
    </w:p>
    <w:p w:rsidR="00431DAC" w:rsidRPr="00431DAC" w:rsidRDefault="00431DAC" w:rsidP="00431DAC">
      <w:pPr>
        <w:pStyle w:val="TEKST1Tre"/>
        <w:spacing w:before="0"/>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2"/>
        <w:gridCol w:w="3882"/>
        <w:gridCol w:w="2275"/>
        <w:gridCol w:w="2273"/>
      </w:tblGrid>
      <w:tr w:rsidR="00431DAC" w:rsidRPr="00431DAC" w:rsidTr="00397A91">
        <w:tc>
          <w:tcPr>
            <w:tcW w:w="637" w:type="dxa"/>
            <w:vAlign w:val="center"/>
          </w:tcPr>
          <w:p w:rsidR="00431DAC" w:rsidRPr="00431DAC" w:rsidRDefault="00431DAC" w:rsidP="00431DAC">
            <w:pPr>
              <w:pStyle w:val="TEKST1Tre"/>
              <w:spacing w:before="0"/>
              <w:jc w:val="center"/>
              <w:rPr>
                <w:rFonts w:cs="Arial"/>
              </w:rPr>
            </w:pPr>
            <w:r w:rsidRPr="00431DAC">
              <w:rPr>
                <w:rFonts w:cs="Arial"/>
              </w:rPr>
              <w:t>L.p.</w:t>
            </w:r>
          </w:p>
        </w:tc>
        <w:tc>
          <w:tcPr>
            <w:tcW w:w="3967" w:type="dxa"/>
            <w:vAlign w:val="center"/>
          </w:tcPr>
          <w:p w:rsidR="00431DAC" w:rsidRPr="00431DAC" w:rsidRDefault="00431DAC" w:rsidP="00431DAC">
            <w:pPr>
              <w:pStyle w:val="TEKST1Tre"/>
              <w:spacing w:before="0"/>
              <w:jc w:val="center"/>
              <w:rPr>
                <w:rFonts w:cs="Arial"/>
              </w:rPr>
            </w:pPr>
            <w:r w:rsidRPr="00431DAC">
              <w:rPr>
                <w:rFonts w:cs="Arial"/>
              </w:rPr>
              <w:t>Lokalizacja bariery</w:t>
            </w:r>
          </w:p>
        </w:tc>
        <w:tc>
          <w:tcPr>
            <w:tcW w:w="2303" w:type="dxa"/>
            <w:vAlign w:val="center"/>
          </w:tcPr>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Minimalny</w:t>
            </w:r>
          </w:p>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poziom</w:t>
            </w:r>
          </w:p>
          <w:p w:rsidR="00431DAC" w:rsidRPr="00431DAC" w:rsidRDefault="00431DAC" w:rsidP="00431DAC">
            <w:pPr>
              <w:pStyle w:val="TEKST1Tre"/>
              <w:spacing w:before="0"/>
              <w:jc w:val="center"/>
              <w:rPr>
                <w:rFonts w:cs="Arial"/>
              </w:rPr>
            </w:pPr>
            <w:r w:rsidRPr="00431DAC">
              <w:rPr>
                <w:rFonts w:cs="Arial"/>
              </w:rPr>
              <w:t>powstrzymania</w:t>
            </w:r>
          </w:p>
        </w:tc>
        <w:tc>
          <w:tcPr>
            <w:tcW w:w="2303" w:type="dxa"/>
            <w:vAlign w:val="center"/>
          </w:tcPr>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Minimalny</w:t>
            </w:r>
          </w:p>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poziom</w:t>
            </w:r>
          </w:p>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intensywności</w:t>
            </w:r>
          </w:p>
          <w:p w:rsidR="00431DAC" w:rsidRPr="00431DAC" w:rsidRDefault="00431DAC" w:rsidP="00431DAC">
            <w:pPr>
              <w:pStyle w:val="TEKST1Tre"/>
              <w:spacing w:before="0"/>
              <w:jc w:val="center"/>
              <w:rPr>
                <w:rFonts w:cs="Arial"/>
              </w:rPr>
            </w:pPr>
            <w:r w:rsidRPr="00431DAC">
              <w:rPr>
                <w:rFonts w:cs="Arial"/>
              </w:rPr>
              <w:t>zderzenia</w:t>
            </w:r>
          </w:p>
        </w:tc>
      </w:tr>
      <w:tr w:rsidR="00431DAC" w:rsidRPr="00431DAC" w:rsidTr="00397A91">
        <w:tc>
          <w:tcPr>
            <w:tcW w:w="637" w:type="dxa"/>
            <w:vAlign w:val="center"/>
          </w:tcPr>
          <w:p w:rsidR="00431DAC" w:rsidRPr="00431DAC" w:rsidRDefault="00431DAC" w:rsidP="00431DAC">
            <w:pPr>
              <w:pStyle w:val="TEKST1Tre"/>
              <w:spacing w:before="0"/>
              <w:jc w:val="center"/>
              <w:rPr>
                <w:rFonts w:cs="Arial"/>
              </w:rPr>
            </w:pPr>
            <w:r w:rsidRPr="00431DAC">
              <w:rPr>
                <w:rFonts w:cs="Arial"/>
              </w:rPr>
              <w:t>1</w:t>
            </w:r>
          </w:p>
        </w:tc>
        <w:tc>
          <w:tcPr>
            <w:tcW w:w="3967" w:type="dxa"/>
            <w:vAlign w:val="center"/>
          </w:tcPr>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W ciągu projektowanej drogi - skrajne</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N2</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B</w:t>
            </w:r>
          </w:p>
        </w:tc>
      </w:tr>
      <w:tr w:rsidR="00431DAC" w:rsidRPr="00431DAC" w:rsidTr="00397A91">
        <w:tc>
          <w:tcPr>
            <w:tcW w:w="637" w:type="dxa"/>
            <w:vAlign w:val="center"/>
          </w:tcPr>
          <w:p w:rsidR="00431DAC" w:rsidRPr="00431DAC" w:rsidRDefault="00431DAC" w:rsidP="00431DAC">
            <w:pPr>
              <w:pStyle w:val="TEKST1Tre"/>
              <w:spacing w:before="0"/>
              <w:jc w:val="center"/>
              <w:rPr>
                <w:rFonts w:cs="Arial"/>
              </w:rPr>
            </w:pPr>
            <w:r w:rsidRPr="00431DAC">
              <w:rPr>
                <w:rFonts w:cs="Arial"/>
              </w:rPr>
              <w:t>2</w:t>
            </w:r>
          </w:p>
        </w:tc>
        <w:tc>
          <w:tcPr>
            <w:tcW w:w="3967" w:type="dxa"/>
            <w:vAlign w:val="center"/>
          </w:tcPr>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W ciągu projektowanej drogi – miejsca</w:t>
            </w:r>
          </w:p>
          <w:p w:rsidR="00431DAC" w:rsidRPr="00431DAC" w:rsidRDefault="00431DAC" w:rsidP="00431DAC">
            <w:pPr>
              <w:autoSpaceDE w:val="0"/>
              <w:autoSpaceDN w:val="0"/>
              <w:adjustRightInd w:val="0"/>
              <w:spacing w:before="0"/>
              <w:jc w:val="center"/>
              <w:rPr>
                <w:rFonts w:cs="Arial"/>
              </w:rPr>
            </w:pPr>
            <w:r w:rsidRPr="00431DAC">
              <w:rPr>
                <w:rFonts w:cs="Arial"/>
                <w:color w:val="auto"/>
              </w:rPr>
              <w:t xml:space="preserve">niebezpieczne </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N2</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B</w:t>
            </w:r>
          </w:p>
        </w:tc>
      </w:tr>
      <w:tr w:rsidR="00431DAC" w:rsidRPr="00431DAC" w:rsidTr="00397A91">
        <w:tc>
          <w:tcPr>
            <w:tcW w:w="637" w:type="dxa"/>
            <w:vAlign w:val="center"/>
          </w:tcPr>
          <w:p w:rsidR="00431DAC" w:rsidRPr="00431DAC" w:rsidRDefault="00431DAC" w:rsidP="00431DAC">
            <w:pPr>
              <w:pStyle w:val="TEKST1Tre"/>
              <w:spacing w:before="0"/>
              <w:jc w:val="center"/>
              <w:rPr>
                <w:rFonts w:cs="Arial"/>
              </w:rPr>
            </w:pPr>
            <w:r w:rsidRPr="00431DAC">
              <w:rPr>
                <w:rFonts w:cs="Arial"/>
              </w:rPr>
              <w:t>3</w:t>
            </w:r>
          </w:p>
        </w:tc>
        <w:tc>
          <w:tcPr>
            <w:tcW w:w="3967" w:type="dxa"/>
            <w:vAlign w:val="center"/>
          </w:tcPr>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Na obiektach inżynierskich</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H4b</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B</w:t>
            </w:r>
          </w:p>
        </w:tc>
      </w:tr>
    </w:tbl>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Na łącznicach należy przyjmować typ bariery zgodny z rodzajem bariery na drodze wyższej kategorii.</w:t>
      </w:r>
    </w:p>
    <w:p w:rsidR="00431DAC" w:rsidRPr="00431DAC" w:rsidRDefault="00431DAC" w:rsidP="00431DAC">
      <w:pPr>
        <w:pStyle w:val="TEKST1Tre"/>
        <w:spacing w:before="0"/>
        <w:rPr>
          <w:rFonts w:cs="Arial"/>
        </w:rPr>
      </w:pPr>
      <w:r w:rsidRPr="00431DAC">
        <w:rPr>
          <w:rFonts w:cs="Arial"/>
        </w:rPr>
        <w:t>Ukos odcinka przejściowego, na którym bariera dzieląca usytuowana w osi projektowanej drogi przechodzi w dwie bariery, usytuowane po obu stronach przeszkody, powinien wynosić nie mniej niż 1:50.</w:t>
      </w:r>
    </w:p>
    <w:p w:rsidR="00431DAC" w:rsidRPr="00431DAC" w:rsidRDefault="00431DAC" w:rsidP="00431DAC">
      <w:pPr>
        <w:pStyle w:val="TEKST1Tre"/>
        <w:spacing w:before="0"/>
        <w:rPr>
          <w:rFonts w:cs="Arial"/>
        </w:rPr>
      </w:pPr>
      <w:r w:rsidRPr="00431DAC">
        <w:rPr>
          <w:rFonts w:cs="Arial"/>
        </w:rPr>
        <w:t>Projekty barier (warsztatowe i montażowe) i wszystkie niezbędne projekty z tym związane opracuje Wykonawca i uzyska ich zatwierdzenie przez Inżyniera.</w:t>
      </w:r>
    </w:p>
    <w:p w:rsidR="00431DAC" w:rsidRPr="00431DAC" w:rsidRDefault="00431DAC" w:rsidP="00431DAC">
      <w:pPr>
        <w:pStyle w:val="TEKST1Tre"/>
        <w:spacing w:before="0"/>
        <w:rPr>
          <w:rFonts w:cs="Arial"/>
        </w:rPr>
      </w:pPr>
      <w:r w:rsidRPr="00431DAC">
        <w:rPr>
          <w:rFonts w:cs="Arial"/>
        </w:rPr>
        <w:t>Wszystkie koszty wynikające z powyższych projektów i rozwiązań ponosi Wykonawca (wykonanie Projektu warsztatowego i montażowego i ewentualnie Projektów zamiennych, ich zatwierdzenie, uzgodnienie, wykonanie i montaż barier, zmiany w konstrukcji obiektu umożliwiające montaż wybranych barier itp.).</w:t>
      </w:r>
    </w:p>
    <w:p w:rsidR="00431DAC" w:rsidRPr="00431DAC" w:rsidRDefault="00431DAC" w:rsidP="00431DAC">
      <w:pPr>
        <w:pStyle w:val="TEKST1Tre"/>
        <w:spacing w:before="0"/>
        <w:rPr>
          <w:rFonts w:cs="Arial"/>
        </w:rPr>
      </w:pPr>
      <w:r w:rsidRPr="00431DAC">
        <w:rPr>
          <w:rFonts w:cs="Arial"/>
        </w:rPr>
        <w:t>Jeżeli ze względu na wymaganą szerokość pracującą lub inne uwarunkowania konieczne są bariery na fundamencie żelbetowym to Wykonawca zobowiązany jest do opracowania Projektu fundamentu oraz uzyskania wszelkich uzgodnień, zatwierdzeń itp. Dotyczy to również kosztów wykonania fundamentu (roboty ziemne, betonowe, zbrojarskie, izolacje, kotwy itp.).</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7"/>
        </w:numPr>
        <w:spacing w:before="0"/>
        <w:rPr>
          <w:rFonts w:cs="Arial"/>
        </w:rPr>
      </w:pPr>
      <w:r w:rsidRPr="00431DAC">
        <w:rPr>
          <w:rFonts w:cs="Arial"/>
        </w:rPr>
        <w:t>Roboty przygotowawcze</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Przed wykonaniem właściwych robót należy, na podstawie dokumentacji projektowej, ST lub wskazań Inspektora Nadzoru Inwestorskiego:</w:t>
      </w:r>
    </w:p>
    <w:p w:rsidR="00431DAC" w:rsidRPr="00431DAC" w:rsidRDefault="00431DAC" w:rsidP="00431DAC">
      <w:pPr>
        <w:pStyle w:val="TEKST1Tre"/>
        <w:numPr>
          <w:ilvl w:val="0"/>
          <w:numId w:val="3"/>
        </w:numPr>
        <w:spacing w:before="0"/>
        <w:rPr>
          <w:rFonts w:cs="Arial"/>
        </w:rPr>
      </w:pPr>
      <w:r w:rsidRPr="00431DAC">
        <w:rPr>
          <w:rFonts w:cs="Arial"/>
        </w:rPr>
        <w:t>wytyczyć trasę bariery,</w:t>
      </w:r>
    </w:p>
    <w:p w:rsidR="00431DAC" w:rsidRPr="00431DAC" w:rsidRDefault="00431DAC" w:rsidP="00431DAC">
      <w:pPr>
        <w:pStyle w:val="TEKST1Tre"/>
        <w:numPr>
          <w:ilvl w:val="0"/>
          <w:numId w:val="3"/>
        </w:numPr>
        <w:spacing w:before="0"/>
        <w:rPr>
          <w:rFonts w:cs="Arial"/>
        </w:rPr>
      </w:pPr>
      <w:r w:rsidRPr="00431DAC">
        <w:rPr>
          <w:rFonts w:cs="Arial"/>
        </w:rPr>
        <w:t>ustalić lokalizację słupków ,</w:t>
      </w:r>
    </w:p>
    <w:p w:rsidR="00431DAC" w:rsidRPr="00431DAC" w:rsidRDefault="00431DAC" w:rsidP="00431DAC">
      <w:pPr>
        <w:pStyle w:val="TEKST1Tre"/>
        <w:numPr>
          <w:ilvl w:val="0"/>
          <w:numId w:val="3"/>
        </w:numPr>
        <w:spacing w:before="0"/>
        <w:rPr>
          <w:rFonts w:cs="Arial"/>
        </w:rPr>
      </w:pPr>
      <w:r w:rsidRPr="00431DAC">
        <w:rPr>
          <w:rFonts w:cs="Arial"/>
        </w:rPr>
        <w:t>określić wysokość prowadnicy bariery,</w:t>
      </w:r>
    </w:p>
    <w:p w:rsidR="00431DAC" w:rsidRPr="00431DAC" w:rsidRDefault="00431DAC" w:rsidP="00431DAC">
      <w:pPr>
        <w:pStyle w:val="TEKST1Tre"/>
        <w:numPr>
          <w:ilvl w:val="0"/>
          <w:numId w:val="3"/>
        </w:numPr>
        <w:spacing w:before="0"/>
        <w:rPr>
          <w:rFonts w:cs="Arial"/>
        </w:rPr>
      </w:pPr>
      <w:r w:rsidRPr="00431DAC">
        <w:rPr>
          <w:rFonts w:cs="Arial"/>
        </w:rPr>
        <w:t>określić miejsca odcinków początkowych i końcowych bariery,</w:t>
      </w:r>
    </w:p>
    <w:p w:rsidR="00431DAC" w:rsidRPr="00431DAC" w:rsidRDefault="00431DAC" w:rsidP="00431DAC">
      <w:pPr>
        <w:pStyle w:val="TEKST1Tre"/>
        <w:numPr>
          <w:ilvl w:val="0"/>
          <w:numId w:val="3"/>
        </w:numPr>
        <w:spacing w:before="0"/>
        <w:rPr>
          <w:rFonts w:cs="Arial"/>
        </w:rPr>
      </w:pPr>
      <w:r w:rsidRPr="00431DAC">
        <w:rPr>
          <w:rFonts w:cs="Arial"/>
        </w:rPr>
        <w:t xml:space="preserve">określić miejsca montażu barier </w:t>
      </w:r>
      <w:proofErr w:type="spellStart"/>
      <w:r w:rsidRPr="00431DAC">
        <w:rPr>
          <w:rFonts w:cs="Arial"/>
        </w:rPr>
        <w:t>łatwodemontowalnych</w:t>
      </w:r>
      <w:proofErr w:type="spellEnd"/>
      <w:r w:rsidRPr="00431DAC">
        <w:rPr>
          <w:rFonts w:cs="Arial"/>
        </w:rPr>
        <w:t>,</w:t>
      </w:r>
    </w:p>
    <w:p w:rsidR="00431DAC" w:rsidRPr="00431DAC" w:rsidRDefault="00431DAC" w:rsidP="00431DAC">
      <w:pPr>
        <w:pStyle w:val="TEKST1Tre"/>
        <w:numPr>
          <w:ilvl w:val="0"/>
          <w:numId w:val="3"/>
        </w:numPr>
        <w:spacing w:before="0"/>
        <w:rPr>
          <w:rFonts w:cs="Arial"/>
        </w:rPr>
      </w:pPr>
      <w:r w:rsidRPr="00431DAC">
        <w:rPr>
          <w:rFonts w:cs="Arial"/>
        </w:rPr>
        <w:t>ustalić ewentualne miejsca przerw, przejść i przejazdów w barierze, itp.</w:t>
      </w:r>
    </w:p>
    <w:p w:rsidR="00431DAC" w:rsidRPr="00431DAC" w:rsidRDefault="00431DAC" w:rsidP="00431DAC">
      <w:pPr>
        <w:pStyle w:val="TEKST1Tre"/>
        <w:numPr>
          <w:ilvl w:val="0"/>
          <w:numId w:val="3"/>
        </w:numPr>
        <w:spacing w:before="0"/>
        <w:rPr>
          <w:rFonts w:cs="Arial"/>
        </w:rPr>
      </w:pPr>
    </w:p>
    <w:p w:rsidR="00431DAC" w:rsidRPr="00431DAC" w:rsidRDefault="00431DAC" w:rsidP="00431DAC">
      <w:pPr>
        <w:pStyle w:val="PUNKTY212"/>
        <w:numPr>
          <w:ilvl w:val="1"/>
          <w:numId w:val="7"/>
        </w:numPr>
        <w:spacing w:before="0"/>
        <w:rPr>
          <w:rFonts w:cs="Arial"/>
        </w:rPr>
      </w:pPr>
      <w:r w:rsidRPr="00431DAC">
        <w:rPr>
          <w:rFonts w:cs="Arial"/>
        </w:rPr>
        <w:t>Osadzenie słupków</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5.3.1. Słupki osadzane w otworach uprzednio wykonanych w gruncie</w:t>
      </w:r>
    </w:p>
    <w:p w:rsidR="00431DAC" w:rsidRPr="00431DAC" w:rsidRDefault="00431DAC" w:rsidP="00431DAC">
      <w:pPr>
        <w:pStyle w:val="TEKST1Tre"/>
        <w:spacing w:before="0"/>
        <w:rPr>
          <w:rFonts w:cs="Arial"/>
        </w:rPr>
      </w:pPr>
      <w:r w:rsidRPr="00431DAC">
        <w:rPr>
          <w:rFonts w:cs="Arial"/>
        </w:rPr>
        <w:t>5.3.1.1. Wykonanie dołów pod słupki</w:t>
      </w:r>
    </w:p>
    <w:p w:rsidR="00431DAC" w:rsidRPr="00431DAC" w:rsidRDefault="00431DAC" w:rsidP="00431DAC">
      <w:pPr>
        <w:pStyle w:val="TEKST1Tre"/>
        <w:spacing w:before="0"/>
        <w:rPr>
          <w:rFonts w:cs="Arial"/>
        </w:rPr>
      </w:pPr>
      <w:r w:rsidRPr="00431DAC">
        <w:rPr>
          <w:rFonts w:cs="Arial"/>
        </w:rPr>
        <w:t xml:space="preserve">Jeśli Dokumentacja Projektowa, </w:t>
      </w:r>
      <w:proofErr w:type="spellStart"/>
      <w:r w:rsidRPr="00431DAC">
        <w:rPr>
          <w:rFonts w:cs="Arial"/>
        </w:rPr>
        <w:t>STWiORB</w:t>
      </w:r>
      <w:proofErr w:type="spellEnd"/>
      <w:r w:rsidRPr="00431DAC">
        <w:rPr>
          <w:rFonts w:cs="Arial"/>
        </w:rPr>
        <w:t xml:space="preserve"> lub Inżynier nie ustali inaczej, to doły (otwory) pod słupki powinny mieć wymiary:</w:t>
      </w:r>
    </w:p>
    <w:p w:rsidR="00431DAC" w:rsidRPr="00431DAC" w:rsidRDefault="00431DAC" w:rsidP="00431DAC">
      <w:pPr>
        <w:pStyle w:val="TEKST1Tre"/>
        <w:numPr>
          <w:ilvl w:val="0"/>
          <w:numId w:val="3"/>
        </w:numPr>
        <w:spacing w:before="0"/>
        <w:rPr>
          <w:rFonts w:cs="Arial"/>
        </w:rPr>
      </w:pPr>
      <w:r w:rsidRPr="00431DAC">
        <w:rPr>
          <w:rFonts w:cs="Arial"/>
        </w:rPr>
        <w:t>przy wykonywaniu otworów wiertnicą - średnica otworu powinna być większa o około 20 cm od największego wymiaru poprzecznego słupka, a głębokość otworu od 1,25 do 1,35 m w zależności od typu bariery,</w:t>
      </w:r>
    </w:p>
    <w:p w:rsidR="00431DAC" w:rsidRPr="00431DAC" w:rsidRDefault="00431DAC" w:rsidP="00431DAC">
      <w:pPr>
        <w:pStyle w:val="TEKST1Tre"/>
        <w:numPr>
          <w:ilvl w:val="0"/>
          <w:numId w:val="3"/>
        </w:numPr>
        <w:spacing w:before="0"/>
        <w:rPr>
          <w:rFonts w:cs="Arial"/>
        </w:rPr>
      </w:pPr>
      <w:r w:rsidRPr="00431DAC">
        <w:rPr>
          <w:rFonts w:cs="Arial"/>
        </w:rPr>
        <w:t>przy ręcznym wykonaniu dołu pod fundament betonowy - wymiary przekroju poprzecznego mogą wynosić 30x30 cm, a głębokość otworu co najmniej 0,75 m przy wypełnianiu betonem otworu gruntowego lub wymiary powinny być ustalone indywidualnie w przypadku stosowania prefabrykowanego fundamentu betonowego.</w:t>
      </w:r>
    </w:p>
    <w:p w:rsidR="00431DAC" w:rsidRPr="00431DAC" w:rsidRDefault="00431DAC" w:rsidP="00431DAC">
      <w:pPr>
        <w:pStyle w:val="TEKST1Tre"/>
        <w:spacing w:before="0"/>
        <w:rPr>
          <w:rFonts w:cs="Arial"/>
        </w:rPr>
      </w:pPr>
      <w:r w:rsidRPr="00431DAC">
        <w:rPr>
          <w:rFonts w:cs="Arial"/>
        </w:rPr>
        <w:lastRenderedPageBreak/>
        <w:t>5.3.1.2. Osadzenia słupków w otworach wypełnionych gruntem</w:t>
      </w:r>
    </w:p>
    <w:p w:rsidR="00431DAC" w:rsidRPr="00431DAC" w:rsidRDefault="00431DAC" w:rsidP="00431DAC">
      <w:pPr>
        <w:pStyle w:val="TEKST1Tre"/>
        <w:spacing w:before="0"/>
        <w:rPr>
          <w:rFonts w:cs="Arial"/>
        </w:rPr>
      </w:pPr>
      <w:r w:rsidRPr="00431DAC">
        <w:rPr>
          <w:rFonts w:cs="Arial"/>
        </w:rPr>
        <w:t>Jeśli Dokumentacja Projektowa lub Inżynier nie ustali inaczej, to osadzenie słupków w wykonanych uprzednio otworach (dołach) powinno uwzględniać:</w:t>
      </w:r>
    </w:p>
    <w:p w:rsidR="00431DAC" w:rsidRPr="00431DAC" w:rsidRDefault="00431DAC" w:rsidP="00431DAC">
      <w:pPr>
        <w:pStyle w:val="TEKST1Tre"/>
        <w:numPr>
          <w:ilvl w:val="0"/>
          <w:numId w:val="3"/>
        </w:numPr>
        <w:spacing w:before="0"/>
        <w:rPr>
          <w:rFonts w:cs="Arial"/>
        </w:rPr>
      </w:pPr>
      <w:r w:rsidRPr="00431DAC">
        <w:rPr>
          <w:rFonts w:cs="Arial"/>
        </w:rPr>
        <w:t>zachowanie prawidłowego położenia i pełnej równoległości słupków, najlepiej przy zastosowaniu odpowiednich szablonów,</w:t>
      </w:r>
    </w:p>
    <w:p w:rsidR="00431DAC" w:rsidRPr="00431DAC" w:rsidRDefault="00431DAC" w:rsidP="00431DAC">
      <w:pPr>
        <w:pStyle w:val="TEKST1Tre"/>
        <w:numPr>
          <w:ilvl w:val="0"/>
          <w:numId w:val="3"/>
        </w:numPr>
        <w:spacing w:before="0"/>
        <w:rPr>
          <w:rFonts w:cs="Arial"/>
        </w:rPr>
      </w:pPr>
      <w:r w:rsidRPr="00431DAC">
        <w:rPr>
          <w:rFonts w:cs="Arial"/>
        </w:rPr>
        <w:t>wzmocnienie dna otworu warstwą tłucznia (ew. żwiru) o grubości warstwy min. 5 cm,</w:t>
      </w:r>
    </w:p>
    <w:p w:rsidR="00431DAC" w:rsidRPr="00431DAC" w:rsidRDefault="00431DAC" w:rsidP="00431DAC">
      <w:pPr>
        <w:pStyle w:val="TEKST1Tre"/>
        <w:numPr>
          <w:ilvl w:val="0"/>
          <w:numId w:val="3"/>
        </w:numPr>
        <w:spacing w:before="0"/>
        <w:rPr>
          <w:rFonts w:cs="Arial"/>
        </w:rPr>
      </w:pPr>
      <w:r w:rsidRPr="00431DAC">
        <w:rPr>
          <w:rFonts w:cs="Arial"/>
        </w:rPr>
        <w:t xml:space="preserve">wypełnienie otworu piaskiem stabilizowanym cementem (od 40 do 50 kg cementu na 1 m3 piasku) lub zagęszczonym gruntem rodzimym, przy czym wskaźnik zagęszczenia nie powinien być mniejszy niż 0,97 według normalnej metody </w:t>
      </w:r>
      <w:proofErr w:type="spellStart"/>
      <w:r w:rsidRPr="00431DAC">
        <w:rPr>
          <w:rFonts w:cs="Arial"/>
        </w:rPr>
        <w:t>Proctora</w:t>
      </w:r>
      <w:proofErr w:type="spellEnd"/>
      <w:r w:rsidRPr="00431DAC">
        <w:rPr>
          <w:rFonts w:cs="Arial"/>
        </w:rPr>
        <w:t>.</w:t>
      </w:r>
    </w:p>
    <w:p w:rsidR="00431DAC" w:rsidRPr="00431DAC" w:rsidRDefault="00431DAC" w:rsidP="00431DAC">
      <w:pPr>
        <w:pStyle w:val="TEKST1Tre"/>
        <w:spacing w:before="0"/>
        <w:rPr>
          <w:rFonts w:cs="Arial"/>
        </w:rPr>
      </w:pPr>
      <w:r w:rsidRPr="00431DAC">
        <w:rPr>
          <w:rFonts w:cs="Arial"/>
        </w:rPr>
        <w:t>5.3.1.3. Osadzenie słupków w fundamencie betonowym</w:t>
      </w:r>
    </w:p>
    <w:p w:rsidR="00431DAC" w:rsidRPr="00431DAC" w:rsidRDefault="00431DAC" w:rsidP="00431DAC">
      <w:pPr>
        <w:pStyle w:val="TEKST1Tre"/>
        <w:spacing w:before="0"/>
        <w:rPr>
          <w:rFonts w:cs="Arial"/>
        </w:rPr>
      </w:pPr>
      <w:r w:rsidRPr="00431DAC">
        <w:rPr>
          <w:rFonts w:cs="Arial"/>
        </w:rPr>
        <w:t>Jeśli Dokumentacja Projektowa lub Inżynier nie ustali inaczej, to osadzenie słupków w otworze, w gruncie wypełnionym betonem lub w prefabrykowanym fundamencie betonowym powinno uwzględniać:</w:t>
      </w:r>
    </w:p>
    <w:p w:rsidR="00431DAC" w:rsidRPr="00431DAC" w:rsidRDefault="00431DAC" w:rsidP="00431DAC">
      <w:pPr>
        <w:pStyle w:val="TEKST1Tre"/>
        <w:numPr>
          <w:ilvl w:val="0"/>
          <w:numId w:val="3"/>
        </w:numPr>
        <w:spacing w:before="0"/>
        <w:rPr>
          <w:rFonts w:cs="Arial"/>
        </w:rPr>
      </w:pPr>
      <w:r w:rsidRPr="00431DAC">
        <w:rPr>
          <w:rFonts w:cs="Arial"/>
        </w:rPr>
        <w:t>ew. wykonanie zbrojenia, zgodnego z Dokumentacją Projektową, a w przypadku braku wskazań - zgodnego z zaleceniem producenta barier,</w:t>
      </w:r>
    </w:p>
    <w:p w:rsidR="00431DAC" w:rsidRPr="00431DAC" w:rsidRDefault="00431DAC" w:rsidP="00431DAC">
      <w:pPr>
        <w:pStyle w:val="TEKST1Tre"/>
        <w:numPr>
          <w:ilvl w:val="0"/>
          <w:numId w:val="3"/>
        </w:numPr>
        <w:spacing w:before="0"/>
        <w:rPr>
          <w:rFonts w:cs="Arial"/>
        </w:rPr>
      </w:pPr>
      <w:r w:rsidRPr="00431DAC">
        <w:rPr>
          <w:rFonts w:cs="Arial"/>
        </w:rPr>
        <w:t>wypełnienie otworu mieszanką betonową klasy B15 (C12/15), odpowiadającą wymaganiom PN-B-06250. Do czasu stwardnienia betonu słupek zaleca się podeprzeć. Zaleca się wykonywać montaż bariery na słupkach, co najmniej po 7 dniach od ustawienia słupka w betonie.</w:t>
      </w:r>
    </w:p>
    <w:p w:rsidR="00431DAC" w:rsidRPr="00431DAC" w:rsidRDefault="00431DAC" w:rsidP="00431DAC">
      <w:pPr>
        <w:pStyle w:val="TEKST1Tre"/>
        <w:spacing w:before="0"/>
        <w:rPr>
          <w:rFonts w:cs="Arial"/>
        </w:rPr>
      </w:pPr>
      <w:r w:rsidRPr="00431DAC">
        <w:rPr>
          <w:rFonts w:cs="Arial"/>
        </w:rPr>
        <w:t xml:space="preserve">5.3.2. Słupki wbijane lub </w:t>
      </w:r>
      <w:proofErr w:type="spellStart"/>
      <w:r w:rsidRPr="00431DAC">
        <w:rPr>
          <w:rFonts w:cs="Arial"/>
        </w:rPr>
        <w:t>wwibrowywane</w:t>
      </w:r>
      <w:proofErr w:type="spellEnd"/>
      <w:r w:rsidRPr="00431DAC">
        <w:rPr>
          <w:rFonts w:cs="Arial"/>
        </w:rPr>
        <w:t xml:space="preserve"> bezpośrednio w grunt</w:t>
      </w:r>
    </w:p>
    <w:p w:rsidR="00431DAC" w:rsidRPr="00431DAC" w:rsidRDefault="00431DAC" w:rsidP="00431DAC">
      <w:pPr>
        <w:pStyle w:val="TEKST1Tre"/>
        <w:spacing w:before="0"/>
        <w:rPr>
          <w:rFonts w:cs="Arial"/>
        </w:rPr>
      </w:pPr>
      <w:r w:rsidRPr="00431DAC">
        <w:rPr>
          <w:rFonts w:cs="Arial"/>
        </w:rPr>
        <w:t xml:space="preserve">Jeśli Dokumentacja Projektowa lub Inżynier na wniosek Wykonawcy ustali bezpośrednie wbijanie lub </w:t>
      </w:r>
      <w:proofErr w:type="spellStart"/>
      <w:r w:rsidRPr="00431DAC">
        <w:rPr>
          <w:rFonts w:cs="Arial"/>
        </w:rPr>
        <w:t>wwibrowywanie</w:t>
      </w:r>
      <w:proofErr w:type="spellEnd"/>
      <w:r w:rsidRPr="00431DAC">
        <w:rPr>
          <w:rFonts w:cs="Arial"/>
        </w:rPr>
        <w:t xml:space="preserve"> słupków w grunt, to Wykonawca przedstawi do akceptacji Inżyniera:</w:t>
      </w:r>
    </w:p>
    <w:p w:rsidR="00431DAC" w:rsidRPr="00431DAC" w:rsidRDefault="00431DAC" w:rsidP="00431DAC">
      <w:pPr>
        <w:pStyle w:val="TEKST1Tre"/>
        <w:numPr>
          <w:ilvl w:val="0"/>
          <w:numId w:val="3"/>
        </w:numPr>
        <w:spacing w:before="0"/>
        <w:rPr>
          <w:rFonts w:cs="Arial"/>
        </w:rPr>
      </w:pPr>
      <w:r w:rsidRPr="00431DAC">
        <w:rPr>
          <w:rFonts w:cs="Arial"/>
        </w:rPr>
        <w:t>sposób wykonania, zapewniający zachowanie osi słupka w pionie i nie powodujący odkształceń lub uszkodzeń słupka,</w:t>
      </w:r>
    </w:p>
    <w:p w:rsidR="00431DAC" w:rsidRPr="00431DAC" w:rsidRDefault="00431DAC" w:rsidP="00431DAC">
      <w:pPr>
        <w:pStyle w:val="TEKST1Tre"/>
        <w:numPr>
          <w:ilvl w:val="0"/>
          <w:numId w:val="3"/>
        </w:numPr>
        <w:spacing w:before="0"/>
        <w:rPr>
          <w:rFonts w:cs="Arial"/>
        </w:rPr>
      </w:pPr>
      <w:r w:rsidRPr="00431DAC">
        <w:rPr>
          <w:rFonts w:cs="Arial"/>
        </w:rPr>
        <w:t>rodzaj sprzętu, wraz z jego charakterystyką techniczną, dotyczący urządzeń wbijających (np. młotów, bab, kafarów) ręcznych lub mechanicznych</w:t>
      </w:r>
    </w:p>
    <w:p w:rsidR="00431DAC" w:rsidRPr="00431DAC" w:rsidRDefault="00431DAC" w:rsidP="00431DAC">
      <w:pPr>
        <w:pStyle w:val="TEKST1Tre"/>
        <w:spacing w:before="0"/>
        <w:rPr>
          <w:rFonts w:cs="Arial"/>
        </w:rPr>
      </w:pPr>
      <w:r w:rsidRPr="00431DAC">
        <w:rPr>
          <w:rFonts w:cs="Arial"/>
        </w:rPr>
        <w:t>5.3.2. Tolerancje osadzenia słupków</w:t>
      </w:r>
    </w:p>
    <w:p w:rsidR="00431DAC" w:rsidRPr="00431DAC" w:rsidRDefault="00431DAC" w:rsidP="00431DAC">
      <w:pPr>
        <w:pStyle w:val="TEKST1Tre"/>
        <w:spacing w:before="0"/>
        <w:rPr>
          <w:rFonts w:cs="Arial"/>
        </w:rPr>
      </w:pPr>
      <w:r w:rsidRPr="00431DAC">
        <w:rPr>
          <w:rFonts w:cs="Arial"/>
        </w:rPr>
        <w:t xml:space="preserve">Dopuszczalna technologicznie odchyłka odległości między słupkami, wynikająca z wymiarów wydłużonych otworów w prowadnicy, służących do zamocowania słupków, wynosi </w:t>
      </w:r>
      <w:r w:rsidRPr="00431DAC">
        <w:rPr>
          <w:rFonts w:cs="Arial"/>
        </w:rPr>
        <w:sym w:font="Symbol" w:char="F0B1"/>
      </w:r>
      <w:r w:rsidRPr="00431DAC">
        <w:rPr>
          <w:rFonts w:cs="Arial"/>
        </w:rPr>
        <w:t xml:space="preserve"> 11 mm.</w:t>
      </w:r>
    </w:p>
    <w:p w:rsidR="00431DAC" w:rsidRPr="00431DAC" w:rsidRDefault="00431DAC" w:rsidP="00431DAC">
      <w:pPr>
        <w:pStyle w:val="TEKST1Tre"/>
        <w:spacing w:before="0"/>
        <w:rPr>
          <w:rFonts w:cs="Arial"/>
        </w:rPr>
      </w:pPr>
      <w:r w:rsidRPr="00431DAC">
        <w:rPr>
          <w:rFonts w:cs="Arial"/>
        </w:rPr>
        <w:t xml:space="preserve">Dopuszczalna różnica wysokości słupków, decydująca czy prowadnica będzie zamocowana równolegle do nawierzchni jezdni, jest wyznaczona kształtem i wymiarami otworów w słupkach do mocowania wysięgników lub przekładek i wynosi </w:t>
      </w:r>
      <w:r w:rsidRPr="00431DAC">
        <w:rPr>
          <w:rFonts w:cs="Arial"/>
        </w:rPr>
        <w:sym w:font="Symbol" w:char="F0B1"/>
      </w:r>
      <w:r w:rsidRPr="00431DAC">
        <w:rPr>
          <w:rFonts w:cs="Arial"/>
        </w:rPr>
        <w:t xml:space="preserve"> 6 mm.</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7"/>
        </w:numPr>
        <w:spacing w:before="0"/>
        <w:rPr>
          <w:rFonts w:cs="Arial"/>
        </w:rPr>
      </w:pPr>
      <w:r w:rsidRPr="00431DAC">
        <w:rPr>
          <w:rFonts w:cs="Arial"/>
        </w:rPr>
        <w:t>Montaż bariery</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Sposób montażu bariery zaproponuje Wykonawca i przedstawi do akceptacji Inżyniera.</w:t>
      </w:r>
    </w:p>
    <w:p w:rsidR="00431DAC" w:rsidRPr="00431DAC" w:rsidRDefault="00431DAC" w:rsidP="00431DAC">
      <w:pPr>
        <w:pStyle w:val="TEKST1Tre"/>
        <w:spacing w:before="0"/>
        <w:rPr>
          <w:rFonts w:cs="Arial"/>
        </w:rPr>
      </w:pPr>
      <w:r w:rsidRPr="00431DAC">
        <w:rPr>
          <w:rFonts w:cs="Arial"/>
        </w:rPr>
        <w:t>Bariera powinna być montowana zgodnie z instrukcją montażową lub zgodnie z zasadami konstrukcyjnymi ustalonymi przez producenta bariery.</w:t>
      </w:r>
    </w:p>
    <w:p w:rsidR="00431DAC" w:rsidRPr="00431DAC" w:rsidRDefault="00431DAC" w:rsidP="00431DAC">
      <w:pPr>
        <w:pStyle w:val="TEKST1Tre"/>
        <w:spacing w:before="0"/>
        <w:rPr>
          <w:rFonts w:cs="Arial"/>
        </w:rPr>
      </w:pPr>
      <w:r w:rsidRPr="00431DAC">
        <w:rPr>
          <w:rFonts w:cs="Arial"/>
        </w:rPr>
        <w:t>Montaż bariery, w ramach dopuszczalnych odchyłek umożliwionych wielkością otworów w elementach bariery, powinien doprowadzić do zapewnienia równej i płynnej linii prowadnic bariery w planie i profilu.</w:t>
      </w:r>
    </w:p>
    <w:p w:rsidR="00431DAC" w:rsidRPr="00431DAC" w:rsidRDefault="00431DAC" w:rsidP="00431DAC">
      <w:pPr>
        <w:pStyle w:val="TEKST1Tre"/>
        <w:spacing w:before="0"/>
        <w:rPr>
          <w:rFonts w:cs="Arial"/>
        </w:rPr>
      </w:pPr>
      <w:r w:rsidRPr="00431DAC">
        <w:rPr>
          <w:rFonts w:cs="Arial"/>
        </w:rPr>
        <w:t xml:space="preserve">Przy montażu bariery niedopuszczalne jest wykonywanie jakichkolwiek otworów lub cięć, naruszających powłokę cynkową poszczególnych elementów bariery.    </w:t>
      </w:r>
    </w:p>
    <w:p w:rsidR="00431DAC" w:rsidRPr="00431DAC" w:rsidRDefault="00431DAC" w:rsidP="00431DAC">
      <w:pPr>
        <w:pStyle w:val="TEKST1Tre"/>
        <w:spacing w:before="0"/>
        <w:rPr>
          <w:rFonts w:cs="Arial"/>
        </w:rPr>
      </w:pPr>
      <w:r w:rsidRPr="00431DAC">
        <w:rPr>
          <w:rFonts w:cs="Arial"/>
        </w:rPr>
        <w:t>Przy montażu prowadnicy należy łączyć sąsiednie odcinki taśmy profilowej, nakładając następny odcinek na wytłoczenie odcinka poprzedniego, zgodnie z kierunkiem ruchu pojazdów tak, aby końce odcinków taśmy przylegały płasko do siebie i pojazd przesuwający się po barierze, nie zaczepiał o krawędzie złączy. Sąsiednie odcinki taśmy są łączone ze sobą zwykle przy użyciu śrub noskowych specjalnych, zwykle po sześć na każde połączenie.</w:t>
      </w:r>
    </w:p>
    <w:p w:rsidR="00431DAC" w:rsidRPr="00431DAC" w:rsidRDefault="00431DAC" w:rsidP="00431DAC">
      <w:pPr>
        <w:pStyle w:val="TEKST1Tre"/>
        <w:spacing w:before="0"/>
        <w:rPr>
          <w:rFonts w:cs="Arial"/>
        </w:rPr>
      </w:pPr>
      <w:r w:rsidRPr="00431DAC">
        <w:rPr>
          <w:rFonts w:cs="Arial"/>
        </w:rPr>
        <w:t>Montaż wysięgników i przekładek ze słupkami i prowadnicą powinien być wykonany ściśle według zaleceń producenta bariery z zastosowaniem przewidzianych do tego celu elementów (obejm, wsporników itp.) oraz właściwych śrub i podkładek.</w:t>
      </w:r>
    </w:p>
    <w:p w:rsidR="00431DAC" w:rsidRPr="00431DAC" w:rsidRDefault="00431DAC" w:rsidP="00431DAC">
      <w:pPr>
        <w:pStyle w:val="TEKST1Tre"/>
        <w:spacing w:before="0"/>
        <w:rPr>
          <w:rFonts w:cs="Arial"/>
        </w:rPr>
      </w:pPr>
      <w:r w:rsidRPr="00431DAC">
        <w:rPr>
          <w:rFonts w:cs="Arial"/>
        </w:rPr>
        <w:t>Przy montażu barier należy zwracać uwagę na poprawne wykonanie, zgodne z Dokumentacją Projektową i wytycznymi producenta barier:</w:t>
      </w:r>
    </w:p>
    <w:p w:rsidR="00431DAC" w:rsidRPr="00431DAC" w:rsidRDefault="00431DAC" w:rsidP="00431DAC">
      <w:pPr>
        <w:pStyle w:val="TEKST1Tre"/>
        <w:numPr>
          <w:ilvl w:val="0"/>
          <w:numId w:val="3"/>
        </w:numPr>
        <w:spacing w:before="0"/>
        <w:rPr>
          <w:rFonts w:cs="Arial"/>
        </w:rPr>
      </w:pPr>
      <w:r w:rsidRPr="00431DAC">
        <w:rPr>
          <w:rFonts w:cs="Arial"/>
        </w:rPr>
        <w:t>odcinków początkowych i końcowych bariery, o właściwej długości odcinka (np. 4 m, 8 m, 12 m, 16 m), z zastosowaniem łączników ukośnych w miejscach niezbędnych przy połączeniu poziomego odcinka prowadnicy z odcinkiem nachylonym, z odchyleniem odcinka w planie w miejscach przewidzianych dla barier skrajnych, z ewentualną kotwą betonową w przypadkach przewidzianych w Dokumentacji Projektowej,</w:t>
      </w:r>
    </w:p>
    <w:p w:rsidR="00431DAC" w:rsidRPr="00431DAC" w:rsidRDefault="00431DAC" w:rsidP="00431DAC">
      <w:pPr>
        <w:pStyle w:val="TEKST1Tre"/>
        <w:numPr>
          <w:ilvl w:val="0"/>
          <w:numId w:val="3"/>
        </w:numPr>
        <w:spacing w:before="0"/>
        <w:rPr>
          <w:rFonts w:cs="Arial"/>
        </w:rPr>
      </w:pPr>
      <w:r w:rsidRPr="00431DAC">
        <w:rPr>
          <w:rFonts w:cs="Arial"/>
        </w:rPr>
        <w:t>odcinków barier osłonowych o właściwej długości odcinka bariery:</w:t>
      </w:r>
    </w:p>
    <w:p w:rsidR="00431DAC" w:rsidRPr="00431DAC" w:rsidRDefault="00431DAC" w:rsidP="00431DAC">
      <w:pPr>
        <w:pStyle w:val="TEKST1Tre"/>
        <w:spacing w:before="0"/>
        <w:ind w:left="1134"/>
        <w:rPr>
          <w:rFonts w:cs="Arial"/>
        </w:rPr>
      </w:pPr>
      <w:r w:rsidRPr="00431DAC">
        <w:rPr>
          <w:rFonts w:cs="Arial"/>
        </w:rPr>
        <w:t>a) przyległego do obiektu lub przeszkody,</w:t>
      </w:r>
    </w:p>
    <w:p w:rsidR="00431DAC" w:rsidRPr="00431DAC" w:rsidRDefault="00431DAC" w:rsidP="00431DAC">
      <w:pPr>
        <w:pStyle w:val="TEKST1Tre"/>
        <w:spacing w:before="0"/>
        <w:ind w:left="1134"/>
        <w:rPr>
          <w:rFonts w:cs="Arial"/>
        </w:rPr>
      </w:pPr>
      <w:r w:rsidRPr="00431DAC">
        <w:rPr>
          <w:rFonts w:cs="Arial"/>
        </w:rPr>
        <w:t>b) przed i za obiektem,</w:t>
      </w:r>
    </w:p>
    <w:p w:rsidR="00431DAC" w:rsidRPr="00431DAC" w:rsidRDefault="00431DAC" w:rsidP="00431DAC">
      <w:pPr>
        <w:pStyle w:val="TEKST1Tre"/>
        <w:spacing w:before="0"/>
        <w:ind w:left="1134"/>
        <w:rPr>
          <w:rFonts w:cs="Arial"/>
        </w:rPr>
      </w:pPr>
      <w:r w:rsidRPr="00431DAC">
        <w:rPr>
          <w:rFonts w:cs="Arial"/>
        </w:rPr>
        <w:t>c) ukośnego początkowego,</w:t>
      </w:r>
    </w:p>
    <w:p w:rsidR="00431DAC" w:rsidRPr="00431DAC" w:rsidRDefault="00431DAC" w:rsidP="00431DAC">
      <w:pPr>
        <w:pStyle w:val="TEKST1Tre"/>
        <w:spacing w:before="0"/>
        <w:ind w:left="1134"/>
        <w:rPr>
          <w:rFonts w:cs="Arial"/>
        </w:rPr>
      </w:pPr>
      <w:r w:rsidRPr="00431DAC">
        <w:rPr>
          <w:rFonts w:cs="Arial"/>
        </w:rPr>
        <w:t>d) ukośnego końcowego,</w:t>
      </w:r>
    </w:p>
    <w:p w:rsidR="00431DAC" w:rsidRPr="00431DAC" w:rsidRDefault="00431DAC" w:rsidP="00431DAC">
      <w:pPr>
        <w:pStyle w:val="TEKST1Tre"/>
        <w:spacing w:before="0"/>
        <w:ind w:left="1134"/>
        <w:rPr>
          <w:rFonts w:cs="Arial"/>
        </w:rPr>
      </w:pPr>
      <w:r w:rsidRPr="00431DAC">
        <w:rPr>
          <w:rFonts w:cs="Arial"/>
        </w:rPr>
        <w:lastRenderedPageBreak/>
        <w:t>e) wzmocnionego,</w:t>
      </w:r>
    </w:p>
    <w:p w:rsidR="00431DAC" w:rsidRPr="00431DAC" w:rsidRDefault="00431DAC" w:rsidP="00431DAC">
      <w:pPr>
        <w:pStyle w:val="TEKST1Tre"/>
        <w:numPr>
          <w:ilvl w:val="0"/>
          <w:numId w:val="3"/>
        </w:numPr>
        <w:spacing w:before="0"/>
        <w:rPr>
          <w:rFonts w:cs="Arial"/>
        </w:rPr>
      </w:pPr>
      <w:r w:rsidRPr="00431DAC">
        <w:rPr>
          <w:rFonts w:cs="Arial"/>
        </w:rPr>
        <w:t>odcinków przejściowych pomiędzy różnymi typami i odmianami barier, w tym m.in. na dojazdach do mostu z zastosowaniem właściwej długości odcinka ukośnego w planie, jak również połączenia z barierami betonowymi pełnymi i ew. poręczami betonowymi,</w:t>
      </w:r>
    </w:p>
    <w:p w:rsidR="00431DAC" w:rsidRPr="00431DAC" w:rsidRDefault="00431DAC" w:rsidP="00431DAC">
      <w:pPr>
        <w:pStyle w:val="TEKST1Tre"/>
        <w:numPr>
          <w:ilvl w:val="0"/>
          <w:numId w:val="3"/>
        </w:numPr>
        <w:spacing w:before="0"/>
        <w:rPr>
          <w:rFonts w:cs="Arial"/>
        </w:rPr>
      </w:pPr>
      <w:r w:rsidRPr="00431DAC">
        <w:rPr>
          <w:rFonts w:cs="Arial"/>
        </w:rPr>
        <w:t>przerw, przejść i przejazdów w barierze w celu np. dojścia do kolumn alarmowych lub innych urządzeń, przejścia pieszych z pobocza drogi za barierę w tym na chodnik mostu,</w:t>
      </w:r>
    </w:p>
    <w:p w:rsidR="00431DAC" w:rsidRPr="00431DAC" w:rsidRDefault="00431DAC" w:rsidP="00431DAC">
      <w:pPr>
        <w:pStyle w:val="TEKST1Tre"/>
        <w:numPr>
          <w:ilvl w:val="0"/>
          <w:numId w:val="3"/>
        </w:numPr>
        <w:spacing w:before="0"/>
        <w:rPr>
          <w:rFonts w:cs="Arial"/>
        </w:rPr>
      </w:pPr>
      <w:r w:rsidRPr="00431DAC">
        <w:rPr>
          <w:rFonts w:cs="Arial"/>
        </w:rPr>
        <w:t>na skrzyżowaniu z drogami, przejścia przez pas dzielący, przejazdu poprzecznego przez pas dzielący,</w:t>
      </w:r>
    </w:p>
    <w:p w:rsidR="00431DAC" w:rsidRPr="00431DAC" w:rsidRDefault="00431DAC" w:rsidP="00431DAC">
      <w:pPr>
        <w:pStyle w:val="TEKST1Tre"/>
        <w:numPr>
          <w:ilvl w:val="0"/>
          <w:numId w:val="3"/>
        </w:numPr>
        <w:spacing w:before="0"/>
        <w:rPr>
          <w:rFonts w:cs="Arial"/>
        </w:rPr>
      </w:pPr>
      <w:r w:rsidRPr="00431DAC">
        <w:rPr>
          <w:rFonts w:cs="Arial"/>
        </w:rPr>
        <w:t>dodatkowych urządzeń, jak np. dodatkowej prowadnicy bariery, osłony słupków bariery itp.,</w:t>
      </w:r>
    </w:p>
    <w:p w:rsidR="00431DAC" w:rsidRPr="00431DAC" w:rsidRDefault="00431DAC" w:rsidP="00431DAC">
      <w:pPr>
        <w:pStyle w:val="TEKST1Tre"/>
        <w:spacing w:before="0"/>
        <w:rPr>
          <w:rFonts w:cs="Arial"/>
        </w:rPr>
      </w:pPr>
      <w:r w:rsidRPr="00431DAC">
        <w:rPr>
          <w:rFonts w:cs="Arial"/>
        </w:rPr>
        <w:t>Na barierze powinny być umieszczone elementy odblaskowe:</w:t>
      </w:r>
    </w:p>
    <w:p w:rsidR="00431DAC" w:rsidRPr="00431DAC" w:rsidRDefault="00431DAC" w:rsidP="00431DAC">
      <w:pPr>
        <w:pStyle w:val="TEKST1Tre"/>
        <w:spacing w:before="0"/>
        <w:ind w:left="1134"/>
        <w:rPr>
          <w:rFonts w:cs="Arial"/>
        </w:rPr>
      </w:pPr>
      <w:r w:rsidRPr="00431DAC">
        <w:rPr>
          <w:rFonts w:cs="Arial"/>
        </w:rPr>
        <w:t>a) czerwone - po prawej stronie jezdni,</w:t>
      </w:r>
    </w:p>
    <w:p w:rsidR="00431DAC" w:rsidRPr="00431DAC" w:rsidRDefault="00431DAC" w:rsidP="00431DAC">
      <w:pPr>
        <w:pStyle w:val="TEKST1Tre"/>
        <w:spacing w:before="0"/>
        <w:ind w:left="1134"/>
        <w:rPr>
          <w:rFonts w:cs="Arial"/>
        </w:rPr>
      </w:pPr>
      <w:r w:rsidRPr="00431DAC">
        <w:rPr>
          <w:rFonts w:cs="Arial"/>
        </w:rPr>
        <w:t>b) białe- po lewej stronie jezdni.</w:t>
      </w:r>
    </w:p>
    <w:p w:rsidR="00431DAC" w:rsidRPr="00431DAC" w:rsidRDefault="00431DAC" w:rsidP="00431DAC">
      <w:pPr>
        <w:pStyle w:val="TEKST1Tre"/>
        <w:spacing w:before="0"/>
        <w:rPr>
          <w:rFonts w:cs="Arial"/>
        </w:rPr>
      </w:pPr>
      <w:r w:rsidRPr="00431DAC">
        <w:rPr>
          <w:rFonts w:cs="Arial"/>
        </w:rPr>
        <w:t>Odległości pomiędzy kolejnymi elementami odblaskowymi powinny być zgodne z ustaleniami WSDBO.</w:t>
      </w:r>
    </w:p>
    <w:p w:rsidR="00431DAC" w:rsidRPr="00431DAC" w:rsidRDefault="00431DAC" w:rsidP="00431DAC">
      <w:pPr>
        <w:pStyle w:val="TEKST1Tre"/>
        <w:spacing w:before="0"/>
        <w:rPr>
          <w:rFonts w:cs="Arial"/>
        </w:rPr>
      </w:pPr>
      <w:r w:rsidRPr="00431DAC">
        <w:rPr>
          <w:rFonts w:cs="Arial"/>
        </w:rPr>
        <w:t>Elementy odblaskowe należy umocować do bariery w sposób trwały, zgodny z wytycznymi producenta barier.</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7"/>
        </w:numPr>
        <w:spacing w:before="0"/>
        <w:rPr>
          <w:rFonts w:cs="Arial"/>
        </w:rPr>
      </w:pPr>
      <w:r w:rsidRPr="00431DAC">
        <w:rPr>
          <w:rFonts w:cs="Arial"/>
        </w:rPr>
        <w:t>Roboty betonowe</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Elementy betonowe fundamentów i kotew powinny być wykonane zgodnie z Dokumentacją Projektową oraz powinny odpowiadać wymaganiom:</w:t>
      </w:r>
    </w:p>
    <w:p w:rsidR="00431DAC" w:rsidRPr="00431DAC" w:rsidRDefault="00431DAC" w:rsidP="00431DAC">
      <w:pPr>
        <w:pStyle w:val="TEKST1Tre"/>
        <w:numPr>
          <w:ilvl w:val="0"/>
          <w:numId w:val="3"/>
        </w:numPr>
        <w:spacing w:before="0"/>
        <w:rPr>
          <w:rFonts w:cs="Arial"/>
        </w:rPr>
      </w:pPr>
      <w:r w:rsidRPr="00431DAC">
        <w:rPr>
          <w:rFonts w:cs="Arial"/>
        </w:rPr>
        <w:t>PN-B-06250 - w zakresie wytrzymałości, nasiąkliwości i odporności na działanie mrozu,</w:t>
      </w:r>
    </w:p>
    <w:p w:rsidR="00431DAC" w:rsidRPr="00431DAC" w:rsidRDefault="00431DAC" w:rsidP="00431DAC">
      <w:pPr>
        <w:pStyle w:val="TEKST1Tre"/>
        <w:numPr>
          <w:ilvl w:val="0"/>
          <w:numId w:val="3"/>
        </w:numPr>
        <w:spacing w:before="0"/>
        <w:rPr>
          <w:rFonts w:cs="Arial"/>
        </w:rPr>
      </w:pPr>
      <w:r w:rsidRPr="00431DAC">
        <w:rPr>
          <w:rFonts w:cs="Arial"/>
        </w:rPr>
        <w:t>PN-B-06251 i PN-B-06250 w zakresie składu betonu, mieszania, zagęszczania, dojrzewania, pielęgnacji i transportu,</w:t>
      </w:r>
    </w:p>
    <w:p w:rsidR="00431DAC" w:rsidRPr="00431DAC" w:rsidRDefault="00431DAC" w:rsidP="00431DAC">
      <w:pPr>
        <w:pStyle w:val="TEKST1Tre"/>
        <w:numPr>
          <w:ilvl w:val="0"/>
          <w:numId w:val="3"/>
        </w:numPr>
        <w:spacing w:before="0"/>
        <w:rPr>
          <w:rFonts w:cs="Arial"/>
        </w:rPr>
      </w:pPr>
      <w:r w:rsidRPr="00431DAC">
        <w:rPr>
          <w:rFonts w:cs="Arial"/>
        </w:rPr>
        <w:t>punktu 2 niniejszej specyfikacji w zakresie postanowień dotyczących betonu i jego składników.</w:t>
      </w:r>
    </w:p>
    <w:p w:rsidR="00431DAC" w:rsidRPr="00431DAC" w:rsidRDefault="00431DAC" w:rsidP="00431DAC">
      <w:pPr>
        <w:pStyle w:val="TEKST1Tre"/>
        <w:spacing w:before="0"/>
        <w:rPr>
          <w:rFonts w:cs="Arial"/>
        </w:rPr>
      </w:pPr>
      <w:r w:rsidRPr="00431DAC">
        <w:rPr>
          <w:rFonts w:cs="Arial"/>
        </w:rPr>
        <w:t>Deskowanie powinno odpowiadać wymaganiom PN-B-06251, zapewniając sztywność i niezmienność układu oraz bezpieczeństwo konstrukcji. Przed wypełnieniem mieszanką betonową, deskowanie powinno być sprawdzone, aby wykluczało wyciek zaprawy z mieszanki betonowej. Termin rozbiórki deskowania powinien być zgodny z wymaganiami PN-B-06251.</w:t>
      </w:r>
    </w:p>
    <w:p w:rsidR="00431DAC" w:rsidRPr="00431DAC" w:rsidRDefault="00431DAC" w:rsidP="00431DAC">
      <w:pPr>
        <w:pStyle w:val="TEKST1Tre"/>
        <w:spacing w:before="0"/>
        <w:rPr>
          <w:rFonts w:cs="Arial"/>
        </w:rPr>
      </w:pPr>
      <w:r w:rsidRPr="00431DAC">
        <w:rPr>
          <w:rFonts w:cs="Arial"/>
        </w:rPr>
        <w:t>Skład mieszanki betonowej powinien, przy najmniejszej ilości wody, zapewnić szczelne ułożenie mieszanki w wyniku zagęszczenia przez wibrowanie. Wartość stosunku wodno-cementowego W/C nie powinna być większa niż 0,5.</w:t>
      </w:r>
    </w:p>
    <w:p w:rsidR="00431DAC" w:rsidRPr="00431DAC" w:rsidRDefault="00431DAC" w:rsidP="00431DAC">
      <w:pPr>
        <w:pStyle w:val="TEKST1Tre"/>
        <w:spacing w:before="0"/>
        <w:rPr>
          <w:rFonts w:cs="Arial"/>
        </w:rPr>
      </w:pPr>
      <w:r w:rsidRPr="00431DAC">
        <w:rPr>
          <w:rFonts w:cs="Arial"/>
        </w:rPr>
        <w:t>Konsystencja mieszanki nie powinna być rzadsza od plastycznej.</w:t>
      </w:r>
    </w:p>
    <w:p w:rsidR="00431DAC" w:rsidRPr="00431DAC" w:rsidRDefault="00431DAC" w:rsidP="00431DAC">
      <w:pPr>
        <w:pStyle w:val="TEKST1Tre"/>
        <w:spacing w:before="0"/>
        <w:rPr>
          <w:rFonts w:cs="Arial"/>
        </w:rPr>
      </w:pPr>
      <w:r w:rsidRPr="00431DAC">
        <w:rPr>
          <w:rFonts w:cs="Arial"/>
        </w:rPr>
        <w:t>Mieszankę betonową zaleca się układać warstwami o grubości do 40 cm bezpośrednio z pojemnika, rurociągu pompy lub za pośrednictwem rynny i zagęszczać wibratorami wgłębnymi.</w:t>
      </w:r>
    </w:p>
    <w:p w:rsidR="00431DAC" w:rsidRPr="00431DAC" w:rsidRDefault="00431DAC" w:rsidP="00431DAC">
      <w:pPr>
        <w:pStyle w:val="TEKST1Tre"/>
        <w:spacing w:before="0"/>
        <w:rPr>
          <w:rFonts w:cs="Arial"/>
        </w:rPr>
      </w:pPr>
      <w:r w:rsidRPr="00431DAC">
        <w:rPr>
          <w:rFonts w:cs="Arial"/>
        </w:rPr>
        <w:t>Po zakończeniu betonowania, przy temperaturze otoczenia wyższej od +5°C, należy prowadzić pielęgnację wilgotnościową, co najmniej przez 7 dni. Woda do polewania betonu powinna spełniać wymagania PN-B-32250.</w:t>
      </w:r>
    </w:p>
    <w:p w:rsidR="00431DAC" w:rsidRPr="00431DAC" w:rsidRDefault="00431DAC" w:rsidP="00431DAC">
      <w:pPr>
        <w:pStyle w:val="TEKST1Tre"/>
        <w:spacing w:before="0"/>
        <w:rPr>
          <w:rFonts w:cs="Arial"/>
        </w:rPr>
      </w:pPr>
      <w:r w:rsidRPr="00431DAC">
        <w:rPr>
          <w:rFonts w:cs="Arial"/>
        </w:rPr>
        <w:t xml:space="preserve">W czasie dojrzewania betonu elementy powinny być chronione przed uderzeniami i drganiami.   </w:t>
      </w:r>
    </w:p>
    <w:p w:rsidR="00431DAC" w:rsidRPr="00431DAC" w:rsidRDefault="00431DAC" w:rsidP="00431DAC">
      <w:pPr>
        <w:pStyle w:val="PUNKTY11"/>
        <w:numPr>
          <w:ilvl w:val="0"/>
          <w:numId w:val="12"/>
        </w:numPr>
        <w:spacing w:before="0"/>
        <w:rPr>
          <w:rFonts w:cs="Arial"/>
        </w:rPr>
      </w:pPr>
      <w:bookmarkStart w:id="5" w:name="_Toc424024075"/>
      <w:r w:rsidRPr="00431DAC">
        <w:rPr>
          <w:rFonts w:cs="Arial"/>
        </w:rPr>
        <w:t>K</w:t>
      </w:r>
      <w:bookmarkEnd w:id="5"/>
      <w:r w:rsidRPr="00431DAC">
        <w:rPr>
          <w:rFonts w:cs="Arial"/>
        </w:rPr>
        <w:t>ontrola jakości robót</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9"/>
        </w:numPr>
        <w:spacing w:before="0"/>
        <w:rPr>
          <w:rFonts w:cs="Arial"/>
        </w:rPr>
      </w:pPr>
      <w:r w:rsidRPr="00431DAC">
        <w:rPr>
          <w:rFonts w:cs="Arial"/>
        </w:rPr>
        <w:t>Ogólne zasady kontroli jakości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zasady kontroli jakości robót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9"/>
        </w:numPr>
        <w:spacing w:before="0"/>
        <w:rPr>
          <w:rFonts w:cs="Arial"/>
        </w:rPr>
      </w:pPr>
      <w:r w:rsidRPr="00431DAC">
        <w:rPr>
          <w:rFonts w:cs="Arial"/>
        </w:rPr>
        <w:t>Badania przed przystąpieniem do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Przed przystąpieniem do robót Wykonawca powinien przedstawić Inżynierowi:</w:t>
      </w:r>
    </w:p>
    <w:p w:rsidR="00431DAC" w:rsidRPr="00431DAC" w:rsidRDefault="00431DAC" w:rsidP="00431DAC">
      <w:pPr>
        <w:pStyle w:val="TEKST1Tre"/>
        <w:numPr>
          <w:ilvl w:val="0"/>
          <w:numId w:val="3"/>
        </w:numPr>
        <w:spacing w:before="0"/>
        <w:rPr>
          <w:rFonts w:cs="Arial"/>
        </w:rPr>
      </w:pPr>
      <w:r w:rsidRPr="00431DAC">
        <w:rPr>
          <w:rFonts w:cs="Arial"/>
        </w:rPr>
        <w:t>atest na konstrukcję drogowej bariery ochronnej akceptowany przez zarządzającego drogą, według wymagania punktu 2.2.,</w:t>
      </w:r>
    </w:p>
    <w:p w:rsidR="00431DAC" w:rsidRPr="00431DAC" w:rsidRDefault="00431DAC" w:rsidP="00431DAC">
      <w:pPr>
        <w:pStyle w:val="TEKST1Tre"/>
        <w:numPr>
          <w:ilvl w:val="0"/>
          <w:numId w:val="3"/>
        </w:numPr>
        <w:spacing w:before="0"/>
        <w:rPr>
          <w:rFonts w:cs="Arial"/>
        </w:rPr>
      </w:pPr>
      <w:r w:rsidRPr="00431DAC">
        <w:rPr>
          <w:rFonts w:cs="Arial"/>
        </w:rPr>
        <w:t>zaświadczenia o jakości (deklaracje zgodności) na materiały, do których wydania producenci są zobowiązani przez właściwe normy PN EN oraz PN, jak kształtowniki stalowe, pręty zbrojeniowe, cement.</w:t>
      </w:r>
    </w:p>
    <w:p w:rsidR="00431DAC" w:rsidRPr="00431DAC" w:rsidRDefault="00431DAC" w:rsidP="00431DAC">
      <w:pPr>
        <w:pStyle w:val="TEKST1Tre"/>
        <w:spacing w:before="0"/>
        <w:rPr>
          <w:rFonts w:cs="Arial"/>
        </w:rPr>
      </w:pPr>
      <w:r w:rsidRPr="00431DAC">
        <w:rPr>
          <w:rFonts w:cs="Arial"/>
        </w:rPr>
        <w:t>Do materiałów, których badania powinien przeprowadzić Wykonawca należą materiały do wykonania fundamentów betonowych i ew. kotew „na mokro”. Uwzględniając nieskomplikowany charakter robót betonowych, na wniosek Wykonawcy, Inżynier może zwolnić go z potrzeby wykonania badań materiałów dla tych robót.</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9"/>
        </w:numPr>
        <w:spacing w:before="0"/>
        <w:rPr>
          <w:rFonts w:cs="Arial"/>
        </w:rPr>
      </w:pPr>
      <w:r w:rsidRPr="00431DAC">
        <w:rPr>
          <w:rFonts w:cs="Arial"/>
        </w:rPr>
        <w:t>Badania w czasie wykonywania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6.3.1. Badania materiałów w czasie wykonywania robót</w:t>
      </w:r>
    </w:p>
    <w:p w:rsidR="00431DAC" w:rsidRPr="00431DAC" w:rsidRDefault="00431DAC" w:rsidP="00431DAC">
      <w:pPr>
        <w:pStyle w:val="TEKST1Tre"/>
        <w:spacing w:before="0"/>
        <w:rPr>
          <w:rFonts w:cs="Arial"/>
        </w:rPr>
      </w:pPr>
      <w:r w:rsidRPr="00431DAC">
        <w:rPr>
          <w:rFonts w:cs="Arial"/>
        </w:rPr>
        <w:lastRenderedPageBreak/>
        <w:t>Wszystkie materiały dostarczone na budowę z zaświadczeniem o jakości producenta powinny być sprawdzone w zakresie powierzchni wyrobu i jego wymiarów.</w:t>
      </w:r>
    </w:p>
    <w:p w:rsidR="00431DAC" w:rsidRPr="00431DAC" w:rsidRDefault="00431DAC" w:rsidP="00431DAC">
      <w:pPr>
        <w:pStyle w:val="TEKST1Tre"/>
        <w:spacing w:before="0"/>
        <w:rPr>
          <w:rFonts w:cs="Arial"/>
        </w:rPr>
      </w:pPr>
      <w:r w:rsidRPr="00431DAC">
        <w:rPr>
          <w:rFonts w:cs="Arial"/>
        </w:rPr>
        <w:t>Badania powierzchni i wymiarów wyrobów wykonuje się nie rzadziej niż 5 do 10 badań z wybranych losowo elementów w każdej dostarczonej partii wyrobów liczącej do 1000 elementów.</w:t>
      </w:r>
    </w:p>
    <w:p w:rsidR="00431DAC" w:rsidRPr="00431DAC" w:rsidRDefault="00431DAC" w:rsidP="00431DAC">
      <w:pPr>
        <w:pStyle w:val="TEKST1Tre"/>
        <w:spacing w:before="0"/>
        <w:rPr>
          <w:rFonts w:cs="Arial"/>
        </w:rPr>
      </w:pPr>
      <w:r w:rsidRPr="00431DAC">
        <w:rPr>
          <w:rFonts w:cs="Arial"/>
        </w:rPr>
        <w:t>W przypadkach budzących wątpliwości można zlecić uprawnionej jednostce zbadanie właściwości dostarczonych wyrobów i materiałów w zakresie wymagań podanych w punkcie 2.</w:t>
      </w:r>
    </w:p>
    <w:p w:rsidR="00431DAC" w:rsidRPr="00431DAC" w:rsidRDefault="00431DAC" w:rsidP="00431DAC">
      <w:pPr>
        <w:pStyle w:val="TEKST1Tre"/>
        <w:spacing w:before="0"/>
        <w:rPr>
          <w:rFonts w:cs="Arial"/>
        </w:rPr>
      </w:pPr>
      <w:r w:rsidRPr="00431DAC">
        <w:rPr>
          <w:rFonts w:cs="Arial"/>
        </w:rPr>
        <w:t>6.3.2. Kontrola w czasie wykonywania robót</w:t>
      </w:r>
    </w:p>
    <w:p w:rsidR="00431DAC" w:rsidRPr="00431DAC" w:rsidRDefault="00431DAC" w:rsidP="00431DAC">
      <w:pPr>
        <w:pStyle w:val="TEKST1Tre"/>
        <w:spacing w:before="0"/>
        <w:rPr>
          <w:rFonts w:cs="Arial"/>
        </w:rPr>
      </w:pPr>
      <w:r w:rsidRPr="00431DAC">
        <w:rPr>
          <w:rFonts w:cs="Arial"/>
        </w:rPr>
        <w:t>W czasie wykonywania robót należy zbadać:</w:t>
      </w:r>
    </w:p>
    <w:p w:rsidR="00431DAC" w:rsidRPr="00431DAC" w:rsidRDefault="00431DAC" w:rsidP="00431DAC">
      <w:pPr>
        <w:pStyle w:val="TEKST1Tre"/>
        <w:numPr>
          <w:ilvl w:val="0"/>
          <w:numId w:val="3"/>
        </w:numPr>
        <w:spacing w:before="0"/>
        <w:rPr>
          <w:rFonts w:cs="Arial"/>
        </w:rPr>
      </w:pPr>
      <w:r w:rsidRPr="00431DAC">
        <w:rPr>
          <w:rFonts w:cs="Arial"/>
        </w:rPr>
        <w:t>zgodność wykonania bariery ochronnej z Dokumentacją Projektową (lokalizacja, wymiary, wysokość prowadnicy nad terenem),</w:t>
      </w:r>
    </w:p>
    <w:p w:rsidR="00431DAC" w:rsidRPr="00431DAC" w:rsidRDefault="00431DAC" w:rsidP="00431DAC">
      <w:pPr>
        <w:pStyle w:val="TEKST1Tre"/>
        <w:numPr>
          <w:ilvl w:val="0"/>
          <w:numId w:val="3"/>
        </w:numPr>
        <w:spacing w:before="0"/>
        <w:rPr>
          <w:rFonts w:cs="Arial"/>
        </w:rPr>
      </w:pPr>
      <w:r w:rsidRPr="00431DAC">
        <w:rPr>
          <w:rFonts w:cs="Arial"/>
        </w:rPr>
        <w:t>zachowanie dopuszczalnych odchyłek wymiarów, zgodnie z punktem 2 i katalogiem (informacją) producenta barier,</w:t>
      </w:r>
    </w:p>
    <w:p w:rsidR="00431DAC" w:rsidRPr="00431DAC" w:rsidRDefault="00431DAC" w:rsidP="00431DAC">
      <w:pPr>
        <w:pStyle w:val="TEKST1Tre"/>
        <w:numPr>
          <w:ilvl w:val="0"/>
          <w:numId w:val="3"/>
        </w:numPr>
        <w:spacing w:before="0"/>
        <w:rPr>
          <w:rFonts w:cs="Arial"/>
        </w:rPr>
      </w:pPr>
      <w:r w:rsidRPr="00431DAC">
        <w:rPr>
          <w:rFonts w:cs="Arial"/>
        </w:rPr>
        <w:t>prawidłowość wykonania dołów pod słupki, zgodnie z punktem 5,</w:t>
      </w:r>
    </w:p>
    <w:p w:rsidR="00431DAC" w:rsidRPr="00431DAC" w:rsidRDefault="00431DAC" w:rsidP="00431DAC">
      <w:pPr>
        <w:pStyle w:val="TEKST1Tre"/>
        <w:numPr>
          <w:ilvl w:val="0"/>
          <w:numId w:val="3"/>
        </w:numPr>
        <w:spacing w:before="0"/>
        <w:rPr>
          <w:rFonts w:cs="Arial"/>
        </w:rPr>
      </w:pPr>
      <w:r w:rsidRPr="00431DAC">
        <w:rPr>
          <w:rFonts w:cs="Arial"/>
        </w:rPr>
        <w:t>poprawność wykonania fundamentów pod słupki, zgodnie z punktem 5,</w:t>
      </w:r>
    </w:p>
    <w:p w:rsidR="00431DAC" w:rsidRPr="00431DAC" w:rsidRDefault="00431DAC" w:rsidP="00431DAC">
      <w:pPr>
        <w:pStyle w:val="TEKST1Tre"/>
        <w:numPr>
          <w:ilvl w:val="0"/>
          <w:numId w:val="3"/>
        </w:numPr>
        <w:spacing w:before="0"/>
        <w:rPr>
          <w:rFonts w:cs="Arial"/>
        </w:rPr>
      </w:pPr>
      <w:r w:rsidRPr="00431DAC">
        <w:rPr>
          <w:rFonts w:cs="Arial"/>
        </w:rPr>
        <w:t>poprawność ustawienia słupków, zgodnie z punktem 5,</w:t>
      </w:r>
    </w:p>
    <w:p w:rsidR="00431DAC" w:rsidRPr="00431DAC" w:rsidRDefault="00431DAC" w:rsidP="00431DAC">
      <w:pPr>
        <w:pStyle w:val="TEKST1Tre"/>
        <w:numPr>
          <w:ilvl w:val="0"/>
          <w:numId w:val="3"/>
        </w:numPr>
        <w:spacing w:before="0"/>
        <w:rPr>
          <w:rFonts w:cs="Arial"/>
        </w:rPr>
      </w:pPr>
      <w:r w:rsidRPr="00431DAC">
        <w:rPr>
          <w:rFonts w:cs="Arial"/>
        </w:rPr>
        <w:t>prawidłowość montażu bariery ochronnej stalowej, zgodnie z punktem 5,</w:t>
      </w:r>
    </w:p>
    <w:p w:rsidR="00431DAC" w:rsidRPr="00431DAC" w:rsidRDefault="00431DAC" w:rsidP="00431DAC">
      <w:pPr>
        <w:pStyle w:val="TEKST1Tre"/>
        <w:numPr>
          <w:ilvl w:val="0"/>
          <w:numId w:val="3"/>
        </w:numPr>
        <w:spacing w:before="0"/>
        <w:rPr>
          <w:rFonts w:cs="Arial"/>
        </w:rPr>
      </w:pPr>
      <w:r w:rsidRPr="00431DAC">
        <w:rPr>
          <w:rFonts w:cs="Arial"/>
        </w:rPr>
        <w:t>poprawność wykonania ew. robót betonowych, zgodnie z punktem 5,</w:t>
      </w:r>
    </w:p>
    <w:p w:rsidR="00431DAC" w:rsidRPr="00431DAC" w:rsidRDefault="00431DAC" w:rsidP="00431DAC">
      <w:pPr>
        <w:pStyle w:val="TEKST1Tre"/>
        <w:numPr>
          <w:ilvl w:val="0"/>
          <w:numId w:val="3"/>
        </w:numPr>
        <w:spacing w:before="0"/>
        <w:rPr>
          <w:rFonts w:cs="Arial"/>
        </w:rPr>
      </w:pPr>
      <w:r w:rsidRPr="00431DAC">
        <w:rPr>
          <w:rFonts w:cs="Arial"/>
        </w:rPr>
        <w:t>poprawność umieszczenia elementów odblaskowych, zgodnie z punktem 5 i w odległościach ustalonych w WSDBO.</w:t>
      </w:r>
    </w:p>
    <w:p w:rsidR="00431DAC" w:rsidRPr="00431DAC" w:rsidRDefault="00431DAC" w:rsidP="00431DAC">
      <w:pPr>
        <w:pStyle w:val="TEKST1Tre"/>
        <w:numPr>
          <w:ilvl w:val="0"/>
          <w:numId w:val="3"/>
        </w:numPr>
        <w:spacing w:before="0"/>
        <w:rPr>
          <w:rFonts w:cs="Arial"/>
        </w:rPr>
      </w:pPr>
    </w:p>
    <w:p w:rsidR="00431DAC" w:rsidRPr="00431DAC" w:rsidRDefault="00431DAC" w:rsidP="00431DAC">
      <w:pPr>
        <w:pStyle w:val="PUNKTY11"/>
        <w:numPr>
          <w:ilvl w:val="0"/>
          <w:numId w:val="12"/>
        </w:numPr>
        <w:spacing w:before="0"/>
        <w:rPr>
          <w:rFonts w:cs="Arial"/>
        </w:rPr>
      </w:pPr>
      <w:bookmarkStart w:id="6" w:name="_Toc405181285"/>
      <w:bookmarkStart w:id="7" w:name="_Toc424024076"/>
      <w:r w:rsidRPr="00431DAC">
        <w:rPr>
          <w:rFonts w:cs="Arial"/>
        </w:rPr>
        <w:t>O</w:t>
      </w:r>
      <w:bookmarkEnd w:id="6"/>
      <w:bookmarkEnd w:id="7"/>
      <w:r w:rsidRPr="00431DAC">
        <w:rPr>
          <w:rFonts w:cs="Arial"/>
        </w:rPr>
        <w:t>bmiar robót</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8"/>
        </w:numPr>
        <w:spacing w:before="0"/>
        <w:rPr>
          <w:rFonts w:cs="Arial"/>
        </w:rPr>
      </w:pPr>
      <w:bookmarkStart w:id="8" w:name="_Toc405181286"/>
      <w:r w:rsidRPr="00431DAC">
        <w:rPr>
          <w:rFonts w:cs="Arial"/>
        </w:rPr>
        <w:t>Ogólne zasady obmiaru robót</w:t>
      </w:r>
      <w:bookmarkEnd w:id="8"/>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zasady obmiaru robót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8"/>
        </w:numPr>
        <w:spacing w:before="0"/>
        <w:rPr>
          <w:rFonts w:cs="Arial"/>
        </w:rPr>
      </w:pPr>
      <w:bookmarkStart w:id="9" w:name="_Toc405181287"/>
      <w:r w:rsidRPr="00431DAC">
        <w:rPr>
          <w:rFonts w:cs="Arial"/>
        </w:rPr>
        <w:t>Jednostka obmiarowa</w:t>
      </w:r>
      <w:bookmarkEnd w:id="9"/>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Jednostką obmiarową jest metr bieżący (</w:t>
      </w:r>
      <w:proofErr w:type="spellStart"/>
      <w:r w:rsidRPr="00431DAC">
        <w:rPr>
          <w:rFonts w:cs="Arial"/>
        </w:rPr>
        <w:t>mb</w:t>
      </w:r>
      <w:proofErr w:type="spellEnd"/>
      <w:r w:rsidRPr="00431DAC">
        <w:rPr>
          <w:rFonts w:cs="Arial"/>
        </w:rPr>
        <w:t>) wykonanej i odebranej bariery ochronnej stalowej zgodnie z Dokumentacją Projektową.</w:t>
      </w:r>
    </w:p>
    <w:p w:rsidR="00431DAC" w:rsidRPr="00431DAC" w:rsidRDefault="00431DAC" w:rsidP="00431DAC">
      <w:pPr>
        <w:pStyle w:val="TEKST1Tre"/>
        <w:spacing w:before="0"/>
        <w:rPr>
          <w:rFonts w:cs="Arial"/>
        </w:rPr>
      </w:pPr>
    </w:p>
    <w:p w:rsidR="00431DAC" w:rsidRPr="00431DAC" w:rsidRDefault="00431DAC" w:rsidP="00431DAC">
      <w:pPr>
        <w:pStyle w:val="PUNKTY11"/>
        <w:numPr>
          <w:ilvl w:val="0"/>
          <w:numId w:val="12"/>
        </w:numPr>
        <w:spacing w:before="0"/>
        <w:rPr>
          <w:rFonts w:cs="Arial"/>
        </w:rPr>
      </w:pPr>
      <w:bookmarkStart w:id="10" w:name="_Toc405181288"/>
      <w:bookmarkStart w:id="11" w:name="_Toc424024077"/>
      <w:r w:rsidRPr="00431DAC">
        <w:rPr>
          <w:rFonts w:cs="Arial"/>
        </w:rPr>
        <w:t>O</w:t>
      </w:r>
      <w:bookmarkEnd w:id="10"/>
      <w:bookmarkEnd w:id="11"/>
      <w:r w:rsidRPr="00431DAC">
        <w:rPr>
          <w:rFonts w:cs="Arial"/>
        </w:rPr>
        <w:t>dbiór robót</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3"/>
        </w:numPr>
        <w:spacing w:before="0"/>
        <w:rPr>
          <w:rFonts w:cs="Arial"/>
        </w:rPr>
      </w:pPr>
      <w:bookmarkStart w:id="12" w:name="_Toc405181289"/>
      <w:bookmarkStart w:id="13" w:name="_Toc424024078"/>
      <w:r w:rsidRPr="00431DAC">
        <w:rPr>
          <w:rFonts w:cs="Arial"/>
        </w:rPr>
        <w:t>Ogólne zasady odbioru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 xml:space="preserve">Ogólne zasady odbioru robót podano w </w:t>
      </w:r>
      <w:proofErr w:type="spellStart"/>
      <w:r w:rsidRPr="00431DAC">
        <w:rPr>
          <w:rFonts w:cs="Arial"/>
        </w:rPr>
        <w:t>STWiORB</w:t>
      </w:r>
      <w:proofErr w:type="spellEnd"/>
      <w:r w:rsidRPr="00431DAC">
        <w:rPr>
          <w:rFonts w:cs="Arial"/>
        </w:rPr>
        <w:t xml:space="preserve"> DM 00.00.00.00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3"/>
        </w:numPr>
        <w:spacing w:before="0"/>
        <w:rPr>
          <w:rFonts w:cs="Arial"/>
        </w:rPr>
      </w:pPr>
      <w:r w:rsidRPr="00431DAC">
        <w:rPr>
          <w:rFonts w:cs="Arial"/>
        </w:rPr>
        <w:t>Sposób odbioru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 xml:space="preserve">Roboty uznaje się za wykonane zgodnie z Dokumentacją Projektową, </w:t>
      </w:r>
      <w:proofErr w:type="spellStart"/>
      <w:r w:rsidRPr="00431DAC">
        <w:rPr>
          <w:rFonts w:cs="Arial"/>
        </w:rPr>
        <w:t>STWiORB</w:t>
      </w:r>
      <w:proofErr w:type="spellEnd"/>
      <w:r w:rsidRPr="00431DAC">
        <w:rPr>
          <w:rFonts w:cs="Arial"/>
        </w:rPr>
        <w:t xml:space="preserve"> i wymaganiami Inżyniera, jeżeli wszystkie pomiary i badania z zachowaniem tolerancji według pkt. 6 dały wyniki pozytywne.</w:t>
      </w:r>
    </w:p>
    <w:p w:rsidR="00431DAC" w:rsidRPr="00431DAC" w:rsidRDefault="00431DAC" w:rsidP="00431DAC">
      <w:pPr>
        <w:pStyle w:val="TEKST1Tre"/>
        <w:spacing w:before="0"/>
        <w:rPr>
          <w:rFonts w:cs="Arial"/>
        </w:rPr>
      </w:pPr>
      <w:r w:rsidRPr="00431DAC">
        <w:rPr>
          <w:rFonts w:cs="Arial"/>
        </w:rPr>
        <w:t>W przypadku niezgodności, choć jednego elementu robót z wymaganiami, roboty uznaje się za niezgodne z Dokumentacją Projektową i Wykonawca zobowiązany jest do ich poprawy na własny koszt.</w:t>
      </w:r>
    </w:p>
    <w:p w:rsidR="00431DAC" w:rsidRPr="00431DAC" w:rsidRDefault="00431DAC" w:rsidP="00431DAC">
      <w:pPr>
        <w:pStyle w:val="TEKST1Tre"/>
        <w:spacing w:before="0"/>
        <w:rPr>
          <w:rFonts w:cs="Arial"/>
        </w:rPr>
      </w:pPr>
    </w:p>
    <w:p w:rsidR="00431DAC" w:rsidRPr="00431DAC" w:rsidRDefault="00431DAC" w:rsidP="00431DAC">
      <w:pPr>
        <w:pStyle w:val="PUNKTY11"/>
        <w:numPr>
          <w:ilvl w:val="0"/>
          <w:numId w:val="12"/>
        </w:numPr>
        <w:spacing w:before="0"/>
        <w:rPr>
          <w:rFonts w:cs="Arial"/>
        </w:rPr>
      </w:pPr>
      <w:r w:rsidRPr="00431DAC">
        <w:rPr>
          <w:rFonts w:cs="Arial"/>
        </w:rPr>
        <w:t>P</w:t>
      </w:r>
      <w:bookmarkEnd w:id="12"/>
      <w:bookmarkEnd w:id="13"/>
      <w:r w:rsidRPr="00431DAC">
        <w:rPr>
          <w:rFonts w:cs="Arial"/>
        </w:rPr>
        <w:t>odstawowe płatności</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1"/>
        </w:numPr>
        <w:spacing w:before="0"/>
        <w:rPr>
          <w:rFonts w:cs="Arial"/>
        </w:rPr>
      </w:pPr>
      <w:bookmarkStart w:id="14" w:name="_Toc405181290"/>
      <w:r w:rsidRPr="00431DAC">
        <w:rPr>
          <w:rFonts w:cs="Arial"/>
        </w:rPr>
        <w:t>Ogólne ustalenia dotyczące podstawy płatności</w:t>
      </w:r>
      <w:bookmarkEnd w:id="14"/>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ustalenia dotyczące podstawy płatności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1"/>
        </w:numPr>
        <w:spacing w:before="0"/>
        <w:rPr>
          <w:rFonts w:cs="Arial"/>
        </w:rPr>
      </w:pPr>
      <w:bookmarkStart w:id="15" w:name="_Toc405181291"/>
      <w:r w:rsidRPr="00431DAC">
        <w:rPr>
          <w:rFonts w:cs="Arial"/>
        </w:rPr>
        <w:t>Cena jednostki obmiarowej</w:t>
      </w:r>
      <w:bookmarkEnd w:id="15"/>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Płaci się za jeden metr bieżący (</w:t>
      </w:r>
      <w:proofErr w:type="spellStart"/>
      <w:r w:rsidRPr="00431DAC">
        <w:rPr>
          <w:rFonts w:cs="Arial"/>
        </w:rPr>
        <w:t>mb</w:t>
      </w:r>
      <w:proofErr w:type="spellEnd"/>
      <w:r w:rsidRPr="00431DAC">
        <w:rPr>
          <w:rFonts w:cs="Arial"/>
        </w:rPr>
        <w:t>) zamontowanej i odebranej bariery stalowej po dokonaniu odbioru wg punktu 8.</w:t>
      </w:r>
    </w:p>
    <w:p w:rsidR="00431DAC" w:rsidRPr="00431DAC" w:rsidRDefault="00431DAC" w:rsidP="00431DAC">
      <w:pPr>
        <w:pStyle w:val="TEKST1Tre"/>
        <w:spacing w:before="0"/>
        <w:rPr>
          <w:rFonts w:cs="Arial"/>
        </w:rPr>
      </w:pPr>
      <w:r w:rsidRPr="00431DAC">
        <w:rPr>
          <w:rFonts w:cs="Arial"/>
        </w:rPr>
        <w:t>Cena jednostkowa jest ceną uśrednioną dla podanego sposobu wykonania i obejmuje:</w:t>
      </w:r>
    </w:p>
    <w:p w:rsidR="00431DAC" w:rsidRPr="00431DAC" w:rsidRDefault="00431DAC" w:rsidP="00431DAC">
      <w:pPr>
        <w:pStyle w:val="TEKST1Tre"/>
        <w:numPr>
          <w:ilvl w:val="0"/>
          <w:numId w:val="3"/>
        </w:numPr>
        <w:spacing w:before="0"/>
        <w:rPr>
          <w:rFonts w:cs="Arial"/>
        </w:rPr>
      </w:pPr>
      <w:r w:rsidRPr="00431DAC">
        <w:rPr>
          <w:rFonts w:cs="Arial"/>
        </w:rPr>
        <w:t>opracowanie Projektu Technologii i Organizacji Robót oraz Programu Zapewnienia Jakości,</w:t>
      </w:r>
    </w:p>
    <w:p w:rsidR="00431DAC" w:rsidRPr="00431DAC" w:rsidRDefault="00431DAC" w:rsidP="00431DAC">
      <w:pPr>
        <w:pStyle w:val="TEKST1Tre"/>
        <w:numPr>
          <w:ilvl w:val="0"/>
          <w:numId w:val="3"/>
        </w:numPr>
        <w:spacing w:before="0"/>
        <w:rPr>
          <w:rFonts w:cs="Arial"/>
        </w:rPr>
      </w:pPr>
      <w:r w:rsidRPr="00431DAC">
        <w:rPr>
          <w:rFonts w:cs="Arial"/>
        </w:rPr>
        <w:t>wykonanie Projektów warsztatowych i montażowych oraz ew. Projektów zamiennych,</w:t>
      </w:r>
    </w:p>
    <w:p w:rsidR="00431DAC" w:rsidRPr="00431DAC" w:rsidRDefault="00431DAC" w:rsidP="00431DAC">
      <w:pPr>
        <w:pStyle w:val="TEKST1Tre"/>
        <w:numPr>
          <w:ilvl w:val="0"/>
          <w:numId w:val="3"/>
        </w:numPr>
        <w:spacing w:before="0"/>
        <w:rPr>
          <w:rFonts w:cs="Arial"/>
        </w:rPr>
      </w:pPr>
      <w:r w:rsidRPr="00431DAC">
        <w:rPr>
          <w:rFonts w:cs="Arial"/>
        </w:rPr>
        <w:t>prace pomiarowe i Roboty przygotowawcze,</w:t>
      </w:r>
    </w:p>
    <w:p w:rsidR="00431DAC" w:rsidRPr="00431DAC" w:rsidRDefault="00431DAC" w:rsidP="00431DAC">
      <w:pPr>
        <w:pStyle w:val="TEKST1Tre"/>
        <w:numPr>
          <w:ilvl w:val="0"/>
          <w:numId w:val="3"/>
        </w:numPr>
        <w:spacing w:before="0"/>
        <w:rPr>
          <w:rFonts w:cs="Arial"/>
        </w:rPr>
      </w:pPr>
      <w:r w:rsidRPr="00431DAC">
        <w:rPr>
          <w:rFonts w:cs="Arial"/>
        </w:rPr>
        <w:t>oznakowanie robót,</w:t>
      </w:r>
    </w:p>
    <w:p w:rsidR="00431DAC" w:rsidRPr="00431DAC" w:rsidRDefault="00431DAC" w:rsidP="00431DAC">
      <w:pPr>
        <w:pStyle w:val="TEKST1Tre"/>
        <w:numPr>
          <w:ilvl w:val="0"/>
          <w:numId w:val="3"/>
        </w:numPr>
        <w:spacing w:before="0"/>
        <w:rPr>
          <w:rFonts w:cs="Arial"/>
        </w:rPr>
      </w:pPr>
      <w:r w:rsidRPr="00431DAC">
        <w:rPr>
          <w:rFonts w:cs="Arial"/>
        </w:rPr>
        <w:lastRenderedPageBreak/>
        <w:t>zakup i dostarczenie wszystkich niezbędnych materiałów na miejsce wbudowania,</w:t>
      </w:r>
    </w:p>
    <w:p w:rsidR="00431DAC" w:rsidRPr="00431DAC" w:rsidRDefault="00431DAC" w:rsidP="00431DAC">
      <w:pPr>
        <w:pStyle w:val="TEKST1Tre"/>
        <w:numPr>
          <w:ilvl w:val="0"/>
          <w:numId w:val="3"/>
        </w:numPr>
        <w:spacing w:before="0"/>
        <w:rPr>
          <w:rFonts w:cs="Arial"/>
        </w:rPr>
      </w:pPr>
      <w:r w:rsidRPr="00431DAC">
        <w:rPr>
          <w:rFonts w:cs="Arial"/>
        </w:rPr>
        <w:t>zastosowanie materiałów pomocniczych koniecznych do prawidłowego wykonania robót lub wynikających z przyjętej technologii robót;</w:t>
      </w:r>
    </w:p>
    <w:p w:rsidR="00431DAC" w:rsidRPr="00431DAC" w:rsidRDefault="00431DAC" w:rsidP="00431DAC">
      <w:pPr>
        <w:pStyle w:val="TEKST1Tre"/>
        <w:numPr>
          <w:ilvl w:val="0"/>
          <w:numId w:val="3"/>
        </w:numPr>
        <w:spacing w:before="0"/>
        <w:rPr>
          <w:rFonts w:cs="Arial"/>
        </w:rPr>
      </w:pPr>
      <w:r w:rsidRPr="00431DAC">
        <w:rPr>
          <w:rFonts w:cs="Arial"/>
        </w:rPr>
        <w:t xml:space="preserve">osadzenie słupków bariery (z ew. wykonaniem dołów i fundamentów betonowych lub bezpośrednie wbicie względnie </w:t>
      </w:r>
      <w:proofErr w:type="spellStart"/>
      <w:r w:rsidRPr="00431DAC">
        <w:rPr>
          <w:rFonts w:cs="Arial"/>
        </w:rPr>
        <w:t>wwibrowanie</w:t>
      </w:r>
      <w:proofErr w:type="spellEnd"/>
      <w:r w:rsidRPr="00431DAC">
        <w:rPr>
          <w:rFonts w:cs="Arial"/>
        </w:rPr>
        <w:t xml:space="preserve"> w grunt),</w:t>
      </w:r>
    </w:p>
    <w:p w:rsidR="00431DAC" w:rsidRPr="00431DAC" w:rsidRDefault="00431DAC" w:rsidP="00431DAC">
      <w:pPr>
        <w:pStyle w:val="TEKST1Tre"/>
        <w:numPr>
          <w:ilvl w:val="0"/>
          <w:numId w:val="3"/>
        </w:numPr>
        <w:spacing w:before="0"/>
        <w:rPr>
          <w:rFonts w:cs="Arial"/>
        </w:rPr>
      </w:pPr>
      <w:r w:rsidRPr="00431DAC">
        <w:rPr>
          <w:rFonts w:cs="Arial"/>
        </w:rPr>
        <w:t>montaż bariery (prowadnicy, wysięgników, przekładek, obejm, wsporników itp. za pomocą właściwych śrub i podkładek) z wykonaniem niezbędnych odcinków początkowych i końcowych, ew. barier osłonowych,</w:t>
      </w:r>
    </w:p>
    <w:p w:rsidR="00431DAC" w:rsidRPr="00431DAC" w:rsidRDefault="00431DAC" w:rsidP="00431DAC">
      <w:pPr>
        <w:pStyle w:val="TEKST1Tre"/>
        <w:numPr>
          <w:ilvl w:val="0"/>
          <w:numId w:val="3"/>
        </w:numPr>
        <w:spacing w:before="0"/>
        <w:rPr>
          <w:rFonts w:cs="Arial"/>
        </w:rPr>
      </w:pPr>
      <w:r w:rsidRPr="00431DAC">
        <w:rPr>
          <w:rFonts w:cs="Arial"/>
        </w:rPr>
        <w:t>odcinków przejściowych pomiędzy różnymi typami barier, przerw, przejść i przejazdów w barierze,</w:t>
      </w:r>
    </w:p>
    <w:p w:rsidR="00431DAC" w:rsidRPr="00431DAC" w:rsidRDefault="00431DAC" w:rsidP="00431DAC">
      <w:pPr>
        <w:pStyle w:val="TEKST1Tre"/>
        <w:numPr>
          <w:ilvl w:val="0"/>
          <w:numId w:val="3"/>
        </w:numPr>
        <w:spacing w:before="0"/>
        <w:rPr>
          <w:rFonts w:cs="Arial"/>
        </w:rPr>
      </w:pPr>
      <w:r w:rsidRPr="00431DAC">
        <w:rPr>
          <w:rFonts w:cs="Arial"/>
        </w:rPr>
        <w:t>umocowaniem elementów odblaskowych itp.,</w:t>
      </w:r>
    </w:p>
    <w:p w:rsidR="00431DAC" w:rsidRPr="00431DAC" w:rsidRDefault="00431DAC" w:rsidP="00431DAC">
      <w:pPr>
        <w:pStyle w:val="TEKST1Tre"/>
        <w:numPr>
          <w:ilvl w:val="0"/>
          <w:numId w:val="3"/>
        </w:numPr>
        <w:spacing w:before="0"/>
        <w:rPr>
          <w:rFonts w:cs="Arial"/>
        </w:rPr>
      </w:pPr>
      <w:r w:rsidRPr="00431DAC">
        <w:rPr>
          <w:rFonts w:cs="Arial"/>
        </w:rPr>
        <w:t>przeprowadzenie wszystkich niezbędnych pomiarów, prób i sprawdzeń,</w:t>
      </w:r>
    </w:p>
    <w:p w:rsidR="00431DAC" w:rsidRPr="00431DAC" w:rsidRDefault="00431DAC" w:rsidP="00431DAC">
      <w:pPr>
        <w:pStyle w:val="TEKST1Tre"/>
        <w:numPr>
          <w:ilvl w:val="0"/>
          <w:numId w:val="3"/>
        </w:numPr>
        <w:spacing w:before="0"/>
        <w:rPr>
          <w:rFonts w:cs="Arial"/>
        </w:rPr>
      </w:pPr>
      <w:r w:rsidRPr="00431DAC">
        <w:rPr>
          <w:rFonts w:cs="Arial"/>
        </w:rPr>
        <w:t>uporządkowanie terenu,</w:t>
      </w:r>
    </w:p>
    <w:p w:rsidR="00431DAC" w:rsidRPr="00431DAC" w:rsidRDefault="00431DAC" w:rsidP="00431DAC">
      <w:pPr>
        <w:pStyle w:val="TEKST1Tre"/>
        <w:numPr>
          <w:ilvl w:val="0"/>
          <w:numId w:val="3"/>
        </w:numPr>
        <w:spacing w:before="0"/>
        <w:rPr>
          <w:rFonts w:cs="Arial"/>
        </w:rPr>
      </w:pPr>
      <w:r w:rsidRPr="00431DAC">
        <w:rPr>
          <w:rFonts w:cs="Arial"/>
        </w:rPr>
        <w:t>oznakowanie miejsca robót i jego utrzymanie.</w:t>
      </w:r>
    </w:p>
    <w:p w:rsidR="00431DAC" w:rsidRPr="00431DAC" w:rsidRDefault="00431DAC" w:rsidP="00431DAC">
      <w:pPr>
        <w:pStyle w:val="TEKST1Tre"/>
        <w:spacing w:before="0"/>
        <w:ind w:left="720"/>
        <w:rPr>
          <w:rFonts w:cs="Arial"/>
        </w:rPr>
      </w:pPr>
    </w:p>
    <w:p w:rsidR="00431DAC" w:rsidRPr="00431DAC" w:rsidRDefault="00431DAC" w:rsidP="00431DAC">
      <w:pPr>
        <w:pStyle w:val="PUNKTY11"/>
        <w:numPr>
          <w:ilvl w:val="0"/>
          <w:numId w:val="12"/>
        </w:numPr>
        <w:spacing w:before="0"/>
        <w:rPr>
          <w:rFonts w:cs="Arial"/>
        </w:rPr>
      </w:pPr>
      <w:bookmarkStart w:id="16" w:name="_Toc424024079"/>
      <w:r w:rsidRPr="00431DAC">
        <w:rPr>
          <w:rFonts w:cs="Arial"/>
        </w:rPr>
        <w:t>Przepisy związane</w:t>
      </w:r>
      <w:bookmarkEnd w:id="16"/>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0"/>
        </w:numPr>
        <w:spacing w:before="0"/>
        <w:rPr>
          <w:rFonts w:cs="Arial"/>
        </w:rPr>
      </w:pPr>
      <w:r w:rsidRPr="00431DAC">
        <w:rPr>
          <w:rFonts w:cs="Arial"/>
        </w:rPr>
        <w:t>Normy</w:t>
      </w:r>
    </w:p>
    <w:p w:rsidR="00431DAC" w:rsidRPr="00431DAC" w:rsidRDefault="00431DAC" w:rsidP="00431DAC">
      <w:pPr>
        <w:pStyle w:val="TEKST1Tre"/>
        <w:spacing w:before="0"/>
        <w:rPr>
          <w:rFonts w:cs="Arial"/>
        </w:rPr>
      </w:pPr>
    </w:p>
    <w:tbl>
      <w:tblPr>
        <w:tblW w:w="0" w:type="auto"/>
        <w:tblLayout w:type="fixed"/>
        <w:tblCellMar>
          <w:left w:w="70" w:type="dxa"/>
          <w:right w:w="70" w:type="dxa"/>
        </w:tblCellMar>
        <w:tblLook w:val="0000" w:firstRow="0" w:lastRow="0" w:firstColumn="0" w:lastColumn="0" w:noHBand="0" w:noVBand="0"/>
      </w:tblPr>
      <w:tblGrid>
        <w:gridCol w:w="637"/>
        <w:gridCol w:w="1701"/>
        <w:gridCol w:w="6804"/>
      </w:tblGrid>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PN-B-03264</w:t>
            </w:r>
          </w:p>
        </w:tc>
        <w:tc>
          <w:tcPr>
            <w:tcW w:w="6804" w:type="dxa"/>
            <w:vAlign w:val="center"/>
          </w:tcPr>
          <w:p w:rsidR="00431DAC" w:rsidRPr="00431DAC" w:rsidRDefault="00431DAC" w:rsidP="00431DAC">
            <w:pPr>
              <w:pStyle w:val="Nagwek"/>
              <w:tabs>
                <w:tab w:val="clear" w:pos="4536"/>
                <w:tab w:val="clear" w:pos="9072"/>
              </w:tabs>
              <w:spacing w:before="0"/>
              <w:rPr>
                <w:rFonts w:cs="Arial"/>
                <w:color w:val="auto"/>
              </w:rPr>
            </w:pPr>
            <w:r w:rsidRPr="00431DAC">
              <w:rPr>
                <w:rFonts w:cs="Arial"/>
                <w:color w:val="auto"/>
              </w:rPr>
              <w:t>Konstrukcje betonowe żelbetowe i sprężone. Obliczenia statyczne i projektowanie</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PN-B-06250</w:t>
            </w:r>
          </w:p>
        </w:tc>
        <w:tc>
          <w:tcPr>
            <w:tcW w:w="6804" w:type="dxa"/>
            <w:vAlign w:val="center"/>
          </w:tcPr>
          <w:p w:rsidR="00431DAC" w:rsidRPr="00431DAC" w:rsidRDefault="00431DAC" w:rsidP="00431DAC">
            <w:pPr>
              <w:spacing w:before="0"/>
              <w:rPr>
                <w:rFonts w:cs="Arial"/>
                <w:color w:val="auto"/>
              </w:rPr>
            </w:pPr>
            <w:r w:rsidRPr="00431DAC">
              <w:rPr>
                <w:rFonts w:cs="Arial"/>
                <w:color w:val="auto"/>
              </w:rPr>
              <w:t>Beton zwykły</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3</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PN-B-06251</w:t>
            </w:r>
          </w:p>
        </w:tc>
        <w:tc>
          <w:tcPr>
            <w:tcW w:w="6804" w:type="dxa"/>
            <w:vAlign w:val="center"/>
          </w:tcPr>
          <w:p w:rsidR="00431DAC" w:rsidRPr="00431DAC" w:rsidRDefault="00431DAC" w:rsidP="00431DAC">
            <w:pPr>
              <w:spacing w:before="0"/>
              <w:rPr>
                <w:rFonts w:cs="Arial"/>
                <w:color w:val="auto"/>
              </w:rPr>
            </w:pPr>
            <w:r w:rsidRPr="00431DAC">
              <w:rPr>
                <w:rFonts w:cs="Arial"/>
                <w:color w:val="auto"/>
              </w:rPr>
              <w:t>Roboty betonowe i żelbetowe. Wymagania techniczne</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4</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PN-B-06712</w:t>
            </w:r>
          </w:p>
        </w:tc>
        <w:tc>
          <w:tcPr>
            <w:tcW w:w="6804" w:type="dxa"/>
            <w:vAlign w:val="center"/>
          </w:tcPr>
          <w:p w:rsidR="00431DAC" w:rsidRPr="00431DAC" w:rsidRDefault="00431DAC" w:rsidP="00431DAC">
            <w:pPr>
              <w:spacing w:before="0"/>
              <w:rPr>
                <w:rFonts w:cs="Arial"/>
                <w:color w:val="auto"/>
              </w:rPr>
            </w:pPr>
            <w:r w:rsidRPr="00431DAC">
              <w:rPr>
                <w:rFonts w:cs="Arial"/>
                <w:color w:val="auto"/>
              </w:rPr>
              <w:t>Kruszywa mineralne do betonu</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5</w:t>
            </w:r>
          </w:p>
        </w:tc>
        <w:tc>
          <w:tcPr>
            <w:tcW w:w="1701" w:type="dxa"/>
            <w:vAlign w:val="center"/>
          </w:tcPr>
          <w:p w:rsidR="00431DAC" w:rsidRPr="00431DAC" w:rsidRDefault="00431DAC" w:rsidP="00431DAC">
            <w:pPr>
              <w:spacing w:before="0"/>
              <w:jc w:val="center"/>
              <w:rPr>
                <w:rFonts w:cs="Arial"/>
                <w:color w:val="auto"/>
                <w:lang w:val="de-DE"/>
              </w:rPr>
            </w:pPr>
            <w:r w:rsidRPr="00431DAC">
              <w:rPr>
                <w:rFonts w:cs="Arial"/>
                <w:color w:val="auto"/>
                <w:lang w:val="de-DE"/>
              </w:rPr>
              <w:t>PN-EN 197-1:2002</w:t>
            </w:r>
          </w:p>
        </w:tc>
        <w:tc>
          <w:tcPr>
            <w:tcW w:w="6804" w:type="dxa"/>
            <w:vAlign w:val="center"/>
          </w:tcPr>
          <w:p w:rsidR="00431DAC" w:rsidRPr="00431DAC" w:rsidRDefault="00431DAC" w:rsidP="00431DAC">
            <w:pPr>
              <w:spacing w:before="0"/>
              <w:rPr>
                <w:rFonts w:cs="Arial"/>
                <w:color w:val="auto"/>
              </w:rPr>
            </w:pPr>
            <w:r w:rsidRPr="00431DAC">
              <w:rPr>
                <w:rFonts w:cs="Arial"/>
                <w:color w:val="auto"/>
              </w:rPr>
              <w:t>Cement. Skład, wymagania i kryteria zgodności dotyczące cementów powszechnego użytku</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6</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PN-EN-933-4</w:t>
            </w:r>
          </w:p>
        </w:tc>
        <w:tc>
          <w:tcPr>
            <w:tcW w:w="6804" w:type="dxa"/>
            <w:vAlign w:val="center"/>
          </w:tcPr>
          <w:p w:rsidR="00431DAC" w:rsidRPr="00431DAC" w:rsidRDefault="00431DAC" w:rsidP="00431DAC">
            <w:pPr>
              <w:spacing w:before="0"/>
              <w:rPr>
                <w:rFonts w:cs="Arial"/>
                <w:color w:val="auto"/>
              </w:rPr>
            </w:pPr>
            <w:r w:rsidRPr="00431DAC">
              <w:rPr>
                <w:rFonts w:cs="Arial"/>
                <w:color w:val="auto"/>
              </w:rPr>
              <w:t>Domieszki do betonu. Klasyfikacja i określenia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7</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PN-EN-1008</w:t>
            </w:r>
          </w:p>
        </w:tc>
        <w:tc>
          <w:tcPr>
            <w:tcW w:w="6804" w:type="dxa"/>
            <w:vAlign w:val="center"/>
          </w:tcPr>
          <w:p w:rsidR="00431DAC" w:rsidRPr="00431DAC" w:rsidRDefault="00431DAC" w:rsidP="00431DAC">
            <w:pPr>
              <w:spacing w:before="0"/>
              <w:rPr>
                <w:rFonts w:cs="Arial"/>
                <w:color w:val="auto"/>
              </w:rPr>
            </w:pPr>
            <w:r w:rsidRPr="00431DAC">
              <w:rPr>
                <w:rFonts w:cs="Arial"/>
                <w:color w:val="auto"/>
              </w:rPr>
              <w:t>Materiały budowlane. Woda do betonów i zapraw</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8</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PN-D-95017</w:t>
            </w:r>
          </w:p>
        </w:tc>
        <w:tc>
          <w:tcPr>
            <w:tcW w:w="6804" w:type="dxa"/>
            <w:vAlign w:val="center"/>
          </w:tcPr>
          <w:p w:rsidR="00431DAC" w:rsidRPr="00431DAC" w:rsidRDefault="00431DAC" w:rsidP="00431DAC">
            <w:pPr>
              <w:spacing w:before="0"/>
              <w:rPr>
                <w:rFonts w:cs="Arial"/>
                <w:color w:val="auto"/>
              </w:rPr>
            </w:pPr>
            <w:r w:rsidRPr="00431DAC">
              <w:rPr>
                <w:rFonts w:cs="Arial"/>
                <w:color w:val="auto"/>
              </w:rPr>
              <w:t>Surowiec drzewny. Drewno wielkowymiarowe iglaste. Wspólne wymagania i badania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9</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PN-D-96000</w:t>
            </w:r>
          </w:p>
        </w:tc>
        <w:tc>
          <w:tcPr>
            <w:tcW w:w="6804" w:type="dxa"/>
            <w:vAlign w:val="center"/>
          </w:tcPr>
          <w:p w:rsidR="00431DAC" w:rsidRPr="00431DAC" w:rsidRDefault="00431DAC" w:rsidP="00431DAC">
            <w:pPr>
              <w:spacing w:before="0"/>
              <w:rPr>
                <w:rFonts w:cs="Arial"/>
                <w:color w:val="auto"/>
              </w:rPr>
            </w:pPr>
            <w:r w:rsidRPr="00431DAC">
              <w:rPr>
                <w:rFonts w:cs="Arial"/>
                <w:color w:val="auto"/>
              </w:rPr>
              <w:t>Tarcica iglasta ogólnego przeznaczenia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10</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PN-D-96002</w:t>
            </w:r>
          </w:p>
        </w:tc>
        <w:tc>
          <w:tcPr>
            <w:tcW w:w="6804" w:type="dxa"/>
            <w:vAlign w:val="center"/>
          </w:tcPr>
          <w:p w:rsidR="00431DAC" w:rsidRPr="00431DAC" w:rsidRDefault="00431DAC" w:rsidP="00431DAC">
            <w:pPr>
              <w:spacing w:before="0"/>
              <w:rPr>
                <w:rFonts w:cs="Arial"/>
                <w:color w:val="auto"/>
              </w:rPr>
            </w:pPr>
            <w:r w:rsidRPr="00431DAC">
              <w:rPr>
                <w:rFonts w:cs="Arial"/>
                <w:color w:val="auto"/>
              </w:rPr>
              <w:t>Tarcica liściasta ogólnego przeznaczenia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11</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PN-H-84020</w:t>
            </w:r>
          </w:p>
        </w:tc>
        <w:tc>
          <w:tcPr>
            <w:tcW w:w="6804" w:type="dxa"/>
            <w:vAlign w:val="center"/>
          </w:tcPr>
          <w:p w:rsidR="00431DAC" w:rsidRPr="00431DAC" w:rsidRDefault="00431DAC" w:rsidP="00431DAC">
            <w:pPr>
              <w:spacing w:before="0"/>
              <w:rPr>
                <w:rFonts w:cs="Arial"/>
                <w:color w:val="auto"/>
              </w:rPr>
            </w:pPr>
            <w:r w:rsidRPr="00431DAC">
              <w:rPr>
                <w:rFonts w:cs="Arial"/>
                <w:color w:val="auto"/>
              </w:rPr>
              <w:t>Stal niestopowa konstrukcyjna ogólnego przeznaczenia. Gatunki</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12</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PN-H-93010</w:t>
            </w:r>
          </w:p>
        </w:tc>
        <w:tc>
          <w:tcPr>
            <w:tcW w:w="6804" w:type="dxa"/>
            <w:vAlign w:val="center"/>
          </w:tcPr>
          <w:p w:rsidR="00431DAC" w:rsidRPr="00431DAC" w:rsidRDefault="00431DAC" w:rsidP="00431DAC">
            <w:pPr>
              <w:spacing w:before="0"/>
              <w:rPr>
                <w:rFonts w:cs="Arial"/>
                <w:color w:val="auto"/>
              </w:rPr>
            </w:pPr>
            <w:r w:rsidRPr="00431DAC">
              <w:rPr>
                <w:rFonts w:cs="Arial"/>
                <w:color w:val="auto"/>
              </w:rPr>
              <w:t>Stal. Kształtowniki walcowane na gorąco</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13</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PN-H-93403</w:t>
            </w:r>
          </w:p>
        </w:tc>
        <w:tc>
          <w:tcPr>
            <w:tcW w:w="6804" w:type="dxa"/>
            <w:vAlign w:val="center"/>
          </w:tcPr>
          <w:p w:rsidR="00431DAC" w:rsidRPr="00431DAC" w:rsidRDefault="00431DAC" w:rsidP="00431DAC">
            <w:pPr>
              <w:spacing w:before="0"/>
              <w:rPr>
                <w:rFonts w:cs="Arial"/>
                <w:color w:val="auto"/>
              </w:rPr>
            </w:pPr>
            <w:r w:rsidRPr="00431DAC">
              <w:rPr>
                <w:rFonts w:cs="Arial"/>
                <w:color w:val="auto"/>
              </w:rPr>
              <w:t>Stal. Ceowniki walcowane. Wymiary.</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14</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PN-H-93407</w:t>
            </w:r>
          </w:p>
        </w:tc>
        <w:tc>
          <w:tcPr>
            <w:tcW w:w="6804" w:type="dxa"/>
            <w:vAlign w:val="center"/>
          </w:tcPr>
          <w:p w:rsidR="00431DAC" w:rsidRPr="00431DAC" w:rsidRDefault="00431DAC" w:rsidP="00431DAC">
            <w:pPr>
              <w:spacing w:before="0"/>
              <w:rPr>
                <w:rFonts w:cs="Arial"/>
                <w:color w:val="auto"/>
              </w:rPr>
            </w:pPr>
            <w:r w:rsidRPr="00431DAC">
              <w:rPr>
                <w:rFonts w:cs="Arial"/>
                <w:color w:val="auto"/>
              </w:rPr>
              <w:t>Stal. Dwuteowniki walcowane na gorąco</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15</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PN-H-93419</w:t>
            </w:r>
          </w:p>
        </w:tc>
        <w:tc>
          <w:tcPr>
            <w:tcW w:w="6804" w:type="dxa"/>
            <w:vAlign w:val="center"/>
          </w:tcPr>
          <w:p w:rsidR="00431DAC" w:rsidRPr="00431DAC" w:rsidRDefault="00431DAC" w:rsidP="00431DAC">
            <w:pPr>
              <w:spacing w:before="0"/>
              <w:rPr>
                <w:rFonts w:cs="Arial"/>
                <w:color w:val="auto"/>
              </w:rPr>
            </w:pPr>
            <w:r w:rsidRPr="00431DAC">
              <w:rPr>
                <w:rFonts w:cs="Arial"/>
                <w:color w:val="auto"/>
              </w:rPr>
              <w:t>Stal. Dwuteowniki równoległościenne IPE walcowane na gorąco</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16</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PN-H-93460-03</w:t>
            </w:r>
          </w:p>
        </w:tc>
        <w:tc>
          <w:tcPr>
            <w:tcW w:w="6804" w:type="dxa"/>
            <w:vAlign w:val="center"/>
          </w:tcPr>
          <w:p w:rsidR="00431DAC" w:rsidRPr="00431DAC" w:rsidRDefault="00431DAC" w:rsidP="00431DAC">
            <w:pPr>
              <w:spacing w:before="0"/>
              <w:rPr>
                <w:rFonts w:cs="Arial"/>
                <w:color w:val="auto"/>
              </w:rPr>
            </w:pPr>
            <w:r w:rsidRPr="00431DAC">
              <w:rPr>
                <w:rFonts w:cs="Arial"/>
                <w:color w:val="auto"/>
              </w:rPr>
              <w:t xml:space="preserve">Kształtowniki stalowe gięte na zimno otwarte. Ceowniki równoramienne ze stali węglowej zwykłej jakości o </w:t>
            </w:r>
            <w:proofErr w:type="spellStart"/>
            <w:r w:rsidRPr="00431DAC">
              <w:rPr>
                <w:rFonts w:cs="Arial"/>
                <w:color w:val="auto"/>
              </w:rPr>
              <w:t>Rm</w:t>
            </w:r>
            <w:proofErr w:type="spellEnd"/>
            <w:r w:rsidRPr="00431DAC">
              <w:rPr>
                <w:rFonts w:cs="Arial"/>
                <w:color w:val="auto"/>
              </w:rPr>
              <w:t xml:space="preserve"> do 490 </w:t>
            </w:r>
            <w:proofErr w:type="spellStart"/>
            <w:r w:rsidRPr="00431DAC">
              <w:rPr>
                <w:rFonts w:cs="Arial"/>
                <w:color w:val="auto"/>
              </w:rPr>
              <w:t>MPa</w:t>
            </w:r>
            <w:proofErr w:type="spellEnd"/>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17</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PN-H-93460-07</w:t>
            </w:r>
          </w:p>
        </w:tc>
        <w:tc>
          <w:tcPr>
            <w:tcW w:w="6804" w:type="dxa"/>
            <w:vAlign w:val="center"/>
          </w:tcPr>
          <w:p w:rsidR="00431DAC" w:rsidRPr="00431DAC" w:rsidRDefault="00431DAC" w:rsidP="00431DAC">
            <w:pPr>
              <w:spacing w:before="0"/>
              <w:rPr>
                <w:rFonts w:cs="Arial"/>
                <w:color w:val="auto"/>
              </w:rPr>
            </w:pPr>
            <w:r w:rsidRPr="00431DAC">
              <w:rPr>
                <w:rFonts w:cs="Arial"/>
                <w:color w:val="auto"/>
              </w:rPr>
              <w:t xml:space="preserve">Kształtowniki stalowe gięte na zimno otwarte. Zetowniki ze stali węglowej zwykłej jakości o </w:t>
            </w:r>
            <w:proofErr w:type="spellStart"/>
            <w:r w:rsidRPr="00431DAC">
              <w:rPr>
                <w:rFonts w:cs="Arial"/>
                <w:color w:val="auto"/>
              </w:rPr>
              <w:t>Rm</w:t>
            </w:r>
            <w:proofErr w:type="spellEnd"/>
            <w:r w:rsidRPr="00431DAC">
              <w:rPr>
                <w:rFonts w:cs="Arial"/>
                <w:color w:val="auto"/>
              </w:rPr>
              <w:t xml:space="preserve"> do 490 </w:t>
            </w:r>
            <w:proofErr w:type="spellStart"/>
            <w:r w:rsidRPr="00431DAC">
              <w:rPr>
                <w:rFonts w:cs="Arial"/>
                <w:color w:val="auto"/>
              </w:rPr>
              <w:t>MPa</w:t>
            </w:r>
            <w:proofErr w:type="spellEnd"/>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18</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PN-H-93461-15</w:t>
            </w:r>
          </w:p>
        </w:tc>
        <w:tc>
          <w:tcPr>
            <w:tcW w:w="6804" w:type="dxa"/>
            <w:vAlign w:val="center"/>
          </w:tcPr>
          <w:p w:rsidR="00431DAC" w:rsidRPr="00431DAC" w:rsidRDefault="00431DAC" w:rsidP="00431DAC">
            <w:pPr>
              <w:autoSpaceDE w:val="0"/>
              <w:autoSpaceDN w:val="0"/>
              <w:adjustRightInd w:val="0"/>
              <w:spacing w:before="0"/>
              <w:rPr>
                <w:rFonts w:cs="Arial"/>
                <w:color w:val="auto"/>
              </w:rPr>
            </w:pPr>
            <w:r w:rsidRPr="00431DAC">
              <w:rPr>
                <w:rFonts w:cs="Arial"/>
                <w:color w:val="auto"/>
              </w:rPr>
              <w:t>Kształtowniki stalowe gięte na zimno otwarte, określonego przeznaczenia.</w:t>
            </w:r>
          </w:p>
          <w:p w:rsidR="00431DAC" w:rsidRPr="00431DAC" w:rsidRDefault="00431DAC" w:rsidP="00431DAC">
            <w:pPr>
              <w:spacing w:before="0"/>
              <w:rPr>
                <w:rFonts w:cs="Arial"/>
                <w:color w:val="auto"/>
              </w:rPr>
            </w:pPr>
            <w:r w:rsidRPr="00431DAC">
              <w:rPr>
                <w:rFonts w:cs="Arial"/>
                <w:color w:val="auto"/>
              </w:rPr>
              <w:t>Kształtownik na poręcz drogową, typ B</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19</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PN-H-93461-18</w:t>
            </w:r>
          </w:p>
        </w:tc>
        <w:tc>
          <w:tcPr>
            <w:tcW w:w="6804" w:type="dxa"/>
            <w:vAlign w:val="center"/>
          </w:tcPr>
          <w:p w:rsidR="00431DAC" w:rsidRPr="00431DAC" w:rsidRDefault="00431DAC" w:rsidP="00431DAC">
            <w:pPr>
              <w:spacing w:before="0"/>
              <w:rPr>
                <w:rFonts w:cs="Arial"/>
                <w:color w:val="auto"/>
              </w:rPr>
            </w:pPr>
            <w:r w:rsidRPr="00431DAC">
              <w:rPr>
                <w:rFonts w:cs="Arial"/>
                <w:color w:val="auto"/>
              </w:rPr>
              <w:t>Kształtowniki stalowe gięte na zimno otwarte, określonego przeznaczenia. Ceowniki półzamknięte prostokątne</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20</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PN-H-93461-28</w:t>
            </w:r>
          </w:p>
        </w:tc>
        <w:tc>
          <w:tcPr>
            <w:tcW w:w="6804" w:type="dxa"/>
            <w:vAlign w:val="center"/>
          </w:tcPr>
          <w:p w:rsidR="00431DAC" w:rsidRPr="00431DAC" w:rsidRDefault="00431DAC" w:rsidP="00431DAC">
            <w:pPr>
              <w:spacing w:before="0"/>
              <w:rPr>
                <w:rFonts w:cs="Arial"/>
                <w:color w:val="auto"/>
              </w:rPr>
            </w:pPr>
            <w:r w:rsidRPr="00431DAC">
              <w:rPr>
                <w:rFonts w:cs="Arial"/>
                <w:color w:val="auto"/>
              </w:rPr>
              <w:t>Kształtowniki stalowe gięte na zimno otwarte, określonego przeznaczenia. Pas profilowy na drogowe bariery ochronne</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21</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PN-M-82010</w:t>
            </w:r>
          </w:p>
        </w:tc>
        <w:tc>
          <w:tcPr>
            <w:tcW w:w="6804" w:type="dxa"/>
            <w:vAlign w:val="center"/>
          </w:tcPr>
          <w:p w:rsidR="00431DAC" w:rsidRPr="00431DAC" w:rsidRDefault="00431DAC" w:rsidP="00431DAC">
            <w:pPr>
              <w:spacing w:before="0"/>
              <w:rPr>
                <w:rFonts w:cs="Arial"/>
                <w:color w:val="auto"/>
              </w:rPr>
            </w:pPr>
            <w:r w:rsidRPr="00431DAC">
              <w:rPr>
                <w:rFonts w:cs="Arial"/>
                <w:color w:val="auto"/>
              </w:rPr>
              <w:t>Podkładki kwadratowe w konstrukcjach drewnianych</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22</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PN-M-82101</w:t>
            </w:r>
          </w:p>
        </w:tc>
        <w:tc>
          <w:tcPr>
            <w:tcW w:w="6804" w:type="dxa"/>
            <w:vAlign w:val="center"/>
          </w:tcPr>
          <w:p w:rsidR="00431DAC" w:rsidRPr="00431DAC" w:rsidRDefault="00431DAC" w:rsidP="00431DAC">
            <w:pPr>
              <w:spacing w:before="0"/>
              <w:rPr>
                <w:rFonts w:cs="Arial"/>
                <w:color w:val="auto"/>
              </w:rPr>
            </w:pPr>
            <w:r w:rsidRPr="00431DAC">
              <w:rPr>
                <w:rFonts w:cs="Arial"/>
                <w:color w:val="auto"/>
              </w:rPr>
              <w:t>Śruby ze łbem sześciokątnym</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23</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PN-M-82121</w:t>
            </w:r>
          </w:p>
        </w:tc>
        <w:tc>
          <w:tcPr>
            <w:tcW w:w="6804" w:type="dxa"/>
            <w:vAlign w:val="center"/>
          </w:tcPr>
          <w:p w:rsidR="00431DAC" w:rsidRPr="00431DAC" w:rsidRDefault="00431DAC" w:rsidP="00431DAC">
            <w:pPr>
              <w:spacing w:before="0"/>
              <w:rPr>
                <w:rFonts w:cs="Arial"/>
                <w:color w:val="auto"/>
              </w:rPr>
            </w:pPr>
            <w:r w:rsidRPr="00431DAC">
              <w:rPr>
                <w:rFonts w:cs="Arial"/>
                <w:color w:val="auto"/>
              </w:rPr>
              <w:t>Śruby ze łbem kwadratowym</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24</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PN-M-82503</w:t>
            </w:r>
          </w:p>
        </w:tc>
        <w:tc>
          <w:tcPr>
            <w:tcW w:w="6804" w:type="dxa"/>
            <w:vAlign w:val="center"/>
          </w:tcPr>
          <w:p w:rsidR="00431DAC" w:rsidRPr="00431DAC" w:rsidRDefault="00431DAC" w:rsidP="00431DAC">
            <w:pPr>
              <w:spacing w:before="0"/>
              <w:rPr>
                <w:rFonts w:cs="Arial"/>
                <w:color w:val="auto"/>
              </w:rPr>
            </w:pPr>
            <w:r w:rsidRPr="00431DAC">
              <w:rPr>
                <w:rFonts w:cs="Arial"/>
                <w:color w:val="auto"/>
              </w:rPr>
              <w:t>Wkręty do drewna ze łbem stożkowym</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25</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PN-M-82505</w:t>
            </w:r>
          </w:p>
        </w:tc>
        <w:tc>
          <w:tcPr>
            <w:tcW w:w="6804" w:type="dxa"/>
            <w:vAlign w:val="center"/>
          </w:tcPr>
          <w:p w:rsidR="00431DAC" w:rsidRPr="00431DAC" w:rsidRDefault="00431DAC" w:rsidP="00431DAC">
            <w:pPr>
              <w:spacing w:before="0"/>
              <w:rPr>
                <w:rFonts w:cs="Arial"/>
                <w:color w:val="auto"/>
              </w:rPr>
            </w:pPr>
            <w:r w:rsidRPr="00431DAC">
              <w:rPr>
                <w:rFonts w:cs="Arial"/>
                <w:color w:val="auto"/>
              </w:rPr>
              <w:t>Wkręty do drewna ze łbem kulistym</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26</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BN-73/0658-01</w:t>
            </w:r>
          </w:p>
        </w:tc>
        <w:tc>
          <w:tcPr>
            <w:tcW w:w="6804" w:type="dxa"/>
            <w:vAlign w:val="center"/>
          </w:tcPr>
          <w:p w:rsidR="00431DAC" w:rsidRPr="00431DAC" w:rsidRDefault="00431DAC" w:rsidP="00431DAC">
            <w:pPr>
              <w:spacing w:before="0"/>
              <w:rPr>
                <w:rFonts w:cs="Arial"/>
                <w:color w:val="auto"/>
              </w:rPr>
            </w:pPr>
            <w:r w:rsidRPr="00431DAC">
              <w:rPr>
                <w:rFonts w:cs="Arial"/>
                <w:color w:val="auto"/>
              </w:rPr>
              <w:t>Rury stalowe profilowe ciągnione na zimno. Wymiary</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27</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BN-87/5028-12</w:t>
            </w:r>
          </w:p>
        </w:tc>
        <w:tc>
          <w:tcPr>
            <w:tcW w:w="6804" w:type="dxa"/>
            <w:vAlign w:val="center"/>
          </w:tcPr>
          <w:p w:rsidR="00431DAC" w:rsidRPr="00431DAC" w:rsidRDefault="00431DAC" w:rsidP="00431DAC">
            <w:pPr>
              <w:spacing w:before="0"/>
              <w:rPr>
                <w:rFonts w:cs="Arial"/>
                <w:color w:val="auto"/>
              </w:rPr>
            </w:pPr>
            <w:r w:rsidRPr="00431DAC">
              <w:rPr>
                <w:rFonts w:cs="Arial"/>
                <w:color w:val="auto"/>
              </w:rPr>
              <w:t>Gwoździe budowlane. Gwoździe z trzpieniem gładkim, okrągłym i kwadratowym</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28</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BN-88/6731-08</w:t>
            </w:r>
          </w:p>
        </w:tc>
        <w:tc>
          <w:tcPr>
            <w:tcW w:w="6804" w:type="dxa"/>
            <w:vAlign w:val="center"/>
          </w:tcPr>
          <w:p w:rsidR="00431DAC" w:rsidRPr="00431DAC" w:rsidRDefault="00431DAC" w:rsidP="00431DAC">
            <w:pPr>
              <w:spacing w:before="0"/>
              <w:rPr>
                <w:rFonts w:cs="Arial"/>
                <w:color w:val="auto"/>
              </w:rPr>
            </w:pPr>
            <w:r w:rsidRPr="00431DAC">
              <w:rPr>
                <w:rFonts w:cs="Arial"/>
                <w:color w:val="auto"/>
              </w:rPr>
              <w:t>Cement. Transport i przechowywanie</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29</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BN-80/6775-03.01</w:t>
            </w:r>
          </w:p>
        </w:tc>
        <w:tc>
          <w:tcPr>
            <w:tcW w:w="6804" w:type="dxa"/>
            <w:vAlign w:val="center"/>
          </w:tcPr>
          <w:p w:rsidR="00431DAC" w:rsidRPr="00431DAC" w:rsidRDefault="00431DAC" w:rsidP="00431DAC">
            <w:pPr>
              <w:spacing w:before="0"/>
              <w:rPr>
                <w:rFonts w:cs="Arial"/>
                <w:color w:val="auto"/>
              </w:rPr>
            </w:pPr>
            <w:r w:rsidRPr="00431DAC">
              <w:rPr>
                <w:rFonts w:cs="Arial"/>
                <w:color w:val="auto"/>
              </w:rPr>
              <w:t>Prefabrykaty budowlane z betonu. Elementy nawierzchni dróg, ulic, parkingów i torowisk tramwajowych. Wspólne wymagania i badania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30</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BN-69/7122-11</w:t>
            </w:r>
          </w:p>
        </w:tc>
        <w:tc>
          <w:tcPr>
            <w:tcW w:w="6804" w:type="dxa"/>
            <w:vAlign w:val="center"/>
          </w:tcPr>
          <w:p w:rsidR="00431DAC" w:rsidRPr="00431DAC" w:rsidRDefault="00431DAC" w:rsidP="00431DAC">
            <w:pPr>
              <w:spacing w:before="0"/>
              <w:rPr>
                <w:rFonts w:cs="Arial"/>
                <w:color w:val="auto"/>
              </w:rPr>
            </w:pPr>
            <w:r w:rsidRPr="00431DAC">
              <w:rPr>
                <w:rFonts w:cs="Arial"/>
                <w:color w:val="auto"/>
              </w:rPr>
              <w:t>Płyty pilśniowe z drewna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lastRenderedPageBreak/>
              <w:t>31</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BN-73/9081-02</w:t>
            </w:r>
          </w:p>
        </w:tc>
        <w:tc>
          <w:tcPr>
            <w:tcW w:w="6804" w:type="dxa"/>
            <w:vAlign w:val="center"/>
          </w:tcPr>
          <w:p w:rsidR="00431DAC" w:rsidRPr="00431DAC" w:rsidRDefault="00431DAC" w:rsidP="00431DAC">
            <w:pPr>
              <w:spacing w:before="0"/>
              <w:rPr>
                <w:rFonts w:cs="Arial"/>
                <w:color w:val="auto"/>
              </w:rPr>
            </w:pPr>
            <w:r w:rsidRPr="00431DAC">
              <w:rPr>
                <w:rFonts w:cs="Arial"/>
                <w:color w:val="auto"/>
              </w:rPr>
              <w:t>Formy stalowe do produkcji elementów budowlanych z betonu kruszywowego. Wymagania i badania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32</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PN-EN 1317</w:t>
            </w:r>
          </w:p>
        </w:tc>
        <w:tc>
          <w:tcPr>
            <w:tcW w:w="6804" w:type="dxa"/>
            <w:vAlign w:val="center"/>
          </w:tcPr>
          <w:p w:rsidR="00431DAC" w:rsidRPr="00431DAC" w:rsidRDefault="00431DAC" w:rsidP="00431DAC">
            <w:pPr>
              <w:spacing w:before="0"/>
              <w:rPr>
                <w:rFonts w:cs="Arial"/>
                <w:color w:val="auto"/>
              </w:rPr>
            </w:pPr>
            <w:r w:rsidRPr="00431DAC">
              <w:rPr>
                <w:rFonts w:cs="Arial"/>
                <w:color w:val="auto"/>
              </w:rPr>
              <w:t>Systemy ograniczające drogę. Część 2: Klasy działania, kryteria przyjęcia badań zderzeniowych metody badań barier ochronnych.</w:t>
            </w:r>
          </w:p>
          <w:p w:rsidR="00431DAC" w:rsidRPr="00431DAC" w:rsidRDefault="00431DAC" w:rsidP="00431DAC">
            <w:pPr>
              <w:spacing w:before="0"/>
              <w:rPr>
                <w:rFonts w:cs="Arial"/>
                <w:color w:val="auto"/>
              </w:rPr>
            </w:pPr>
          </w:p>
        </w:tc>
      </w:tr>
    </w:tbl>
    <w:p w:rsidR="00431DAC" w:rsidRPr="00431DAC" w:rsidRDefault="00431DAC" w:rsidP="00431DAC">
      <w:pPr>
        <w:pStyle w:val="PUNKTY212"/>
        <w:numPr>
          <w:ilvl w:val="1"/>
          <w:numId w:val="10"/>
        </w:numPr>
        <w:spacing w:before="0"/>
        <w:rPr>
          <w:rFonts w:cs="Arial"/>
        </w:rPr>
      </w:pPr>
      <w:r w:rsidRPr="00431DAC">
        <w:rPr>
          <w:rFonts w:cs="Arial"/>
        </w:rPr>
        <w:t>Inne dokumenty</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 xml:space="preserve">33. Zarządzenie nr 31 z 23.04.2010r. </w:t>
      </w:r>
      <w:proofErr w:type="spellStart"/>
      <w:r w:rsidRPr="00431DAC">
        <w:rPr>
          <w:rFonts w:cs="Arial"/>
        </w:rPr>
        <w:t>GDDKiA</w:t>
      </w:r>
      <w:proofErr w:type="spellEnd"/>
      <w:r w:rsidRPr="00431DAC">
        <w:rPr>
          <w:rFonts w:cs="Arial"/>
        </w:rPr>
        <w:t xml:space="preserve"> w sprawie wytycznych stosowania drogowych barier ochronnych na drogach krajowych.</w:t>
      </w:r>
    </w:p>
    <w:p w:rsidR="00431DAC" w:rsidRPr="00431DAC" w:rsidRDefault="00431DAC" w:rsidP="00431DAC">
      <w:pPr>
        <w:pStyle w:val="TEKST1Tre"/>
        <w:spacing w:before="0"/>
        <w:rPr>
          <w:rFonts w:cs="Arial"/>
        </w:rPr>
      </w:pPr>
    </w:p>
    <w:sectPr w:rsidR="00431DAC" w:rsidRPr="00431DAC" w:rsidSect="00ED5894">
      <w:headerReference w:type="even" r:id="rId7"/>
      <w:headerReference w:type="default" r:id="rId8"/>
      <w:footerReference w:type="even" r:id="rId9"/>
      <w:footerReference w:type="default" r:id="rId10"/>
      <w:pgSz w:w="11906" w:h="16838"/>
      <w:pgMar w:top="1417" w:right="1417" w:bottom="1417" w:left="1417" w:header="708" w:footer="708" w:gutter="0"/>
      <w:pgNumType w:start="17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663E" w:rsidRDefault="002E663E" w:rsidP="00D64A80">
      <w:pPr>
        <w:spacing w:before="0"/>
      </w:pPr>
      <w:r>
        <w:separator/>
      </w:r>
    </w:p>
  </w:endnote>
  <w:endnote w:type="continuationSeparator" w:id="0">
    <w:p w:rsidR="002E663E" w:rsidRDefault="002E663E" w:rsidP="00D64A8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2454799"/>
      <w:docPartObj>
        <w:docPartGallery w:val="Page Numbers (Bottom of Page)"/>
        <w:docPartUnique/>
      </w:docPartObj>
    </w:sdtPr>
    <w:sdtEndPr>
      <w:rPr>
        <w:color w:val="auto"/>
      </w:rPr>
    </w:sdtEndPr>
    <w:sdtContent>
      <w:p w:rsidR="00353980" w:rsidRPr="00353980" w:rsidRDefault="00353980">
        <w:pPr>
          <w:pStyle w:val="Stopka"/>
          <w:rPr>
            <w:color w:val="auto"/>
          </w:rPr>
        </w:pPr>
        <w:r w:rsidRPr="00353980">
          <w:rPr>
            <w:color w:val="auto"/>
          </w:rPr>
          <w:fldChar w:fldCharType="begin"/>
        </w:r>
        <w:r w:rsidRPr="00353980">
          <w:rPr>
            <w:color w:val="auto"/>
          </w:rPr>
          <w:instrText>PAGE   \* MERGEFORMAT</w:instrText>
        </w:r>
        <w:r w:rsidRPr="00353980">
          <w:rPr>
            <w:color w:val="auto"/>
          </w:rPr>
          <w:fldChar w:fldCharType="separate"/>
        </w:r>
        <w:r w:rsidR="00052B77">
          <w:rPr>
            <w:noProof/>
            <w:color w:val="auto"/>
          </w:rPr>
          <w:t>146</w:t>
        </w:r>
        <w:r w:rsidRPr="00353980">
          <w:rPr>
            <w:color w:val="auto"/>
          </w:rPr>
          <w:fldChar w:fldCharType="end"/>
        </w:r>
      </w:p>
    </w:sdtContent>
  </w:sdt>
  <w:p w:rsidR="00353980" w:rsidRDefault="0035398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2837906"/>
      <w:docPartObj>
        <w:docPartGallery w:val="Page Numbers (Bottom of Page)"/>
        <w:docPartUnique/>
      </w:docPartObj>
    </w:sdtPr>
    <w:sdtEndPr>
      <w:rPr>
        <w:color w:val="auto"/>
      </w:rPr>
    </w:sdtEndPr>
    <w:sdtContent>
      <w:p w:rsidR="00D64A80" w:rsidRPr="00D64A80" w:rsidRDefault="00D64A80" w:rsidP="00052B77">
        <w:pPr>
          <w:pStyle w:val="Stopka"/>
          <w:jc w:val="center"/>
          <w:rPr>
            <w:color w:val="auto"/>
          </w:rPr>
        </w:pPr>
        <w:r w:rsidRPr="00D64A80">
          <w:rPr>
            <w:color w:val="auto"/>
          </w:rPr>
          <w:fldChar w:fldCharType="begin"/>
        </w:r>
        <w:r w:rsidRPr="00D64A80">
          <w:rPr>
            <w:color w:val="auto"/>
          </w:rPr>
          <w:instrText>PAGE   \* MERGEFORMAT</w:instrText>
        </w:r>
        <w:r w:rsidRPr="00D64A80">
          <w:rPr>
            <w:color w:val="auto"/>
          </w:rPr>
          <w:fldChar w:fldCharType="separate"/>
        </w:r>
        <w:r w:rsidR="00ED5894">
          <w:rPr>
            <w:noProof/>
            <w:color w:val="auto"/>
          </w:rPr>
          <w:t>186</w:t>
        </w:r>
        <w:r w:rsidRPr="00D64A80">
          <w:rPr>
            <w:color w:val="auto"/>
          </w:rPr>
          <w:fldChar w:fldCharType="end"/>
        </w:r>
      </w:p>
    </w:sdtContent>
  </w:sdt>
  <w:p w:rsidR="00D64A80" w:rsidRPr="00D64A80" w:rsidRDefault="00D64A80">
    <w:pPr>
      <w:pStyle w:val="Stopka"/>
      <w:rPr>
        <w:color w:val="aut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663E" w:rsidRDefault="002E663E" w:rsidP="00D64A80">
      <w:pPr>
        <w:spacing w:before="0"/>
      </w:pPr>
      <w:r>
        <w:separator/>
      </w:r>
    </w:p>
  </w:footnote>
  <w:footnote w:type="continuationSeparator" w:id="0">
    <w:p w:rsidR="002E663E" w:rsidRDefault="002E663E" w:rsidP="00D64A80">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46B" w:rsidRPr="0049746B" w:rsidRDefault="0049746B" w:rsidP="0049746B">
    <w:pPr>
      <w:pStyle w:val="Nagwek"/>
      <w:pBdr>
        <w:bottom w:val="single" w:sz="4" w:space="1" w:color="auto"/>
      </w:pBdr>
      <w:spacing w:line="360" w:lineRule="auto"/>
      <w:jc w:val="center"/>
      <w:rPr>
        <w:color w:val="auto"/>
      </w:rPr>
    </w:pPr>
    <w:r w:rsidRPr="00353980">
      <w:rPr>
        <w:color w:val="auto"/>
      </w:rPr>
      <w:t>D.07.05.01 BARIERY OCHRONNE STALOWE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3980" w:rsidRPr="00353980" w:rsidRDefault="00353980" w:rsidP="00353980">
    <w:pPr>
      <w:pStyle w:val="Nagwek"/>
      <w:pBdr>
        <w:bottom w:val="single" w:sz="4" w:space="1" w:color="auto"/>
      </w:pBdr>
      <w:spacing w:line="360" w:lineRule="auto"/>
      <w:jc w:val="center"/>
      <w:rPr>
        <w:color w:val="auto"/>
      </w:rPr>
    </w:pPr>
    <w:r w:rsidRPr="00353980">
      <w:rPr>
        <w:color w:val="auto"/>
      </w:rPr>
      <w:t>D.07.05.01 BARIERY OCHRONNE STALOWE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B1433"/>
    <w:multiLevelType w:val="multilevel"/>
    <w:tmpl w:val="37AC217C"/>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55C412F"/>
    <w:multiLevelType w:val="hybridMultilevel"/>
    <w:tmpl w:val="D6C4BE22"/>
    <w:lvl w:ilvl="0" w:tplc="A14EDB5C">
      <w:start w:val="1"/>
      <w:numFmt w:val="bullet"/>
      <w:lvlText w:val=""/>
      <w:lvlJc w:val="left"/>
      <w:pPr>
        <w:tabs>
          <w:tab w:val="num" w:pos="720"/>
        </w:tabs>
        <w:ind w:left="720" w:hanging="360"/>
      </w:pPr>
      <w:rPr>
        <w:rFonts w:ascii="Symbol" w:hAnsi="Symbol" w:hint="default"/>
      </w:rPr>
    </w:lvl>
    <w:lvl w:ilvl="1" w:tplc="7D6E8640">
      <w:start w:val="1"/>
      <w:numFmt w:val="bullet"/>
      <w:lvlText w:val=""/>
      <w:lvlJc w:val="left"/>
      <w:pPr>
        <w:tabs>
          <w:tab w:val="num" w:pos="1440"/>
        </w:tabs>
        <w:ind w:left="1440" w:hanging="360"/>
      </w:pPr>
      <w:rPr>
        <w:rFonts w:ascii="Symbol" w:hAnsi="Symbol" w:cs="Times New Roman"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08E85D3A"/>
    <w:multiLevelType w:val="multilevel"/>
    <w:tmpl w:val="CAFE14F4"/>
    <w:lvl w:ilvl="0">
      <w:start w:val="2"/>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9F8128A"/>
    <w:multiLevelType w:val="multilevel"/>
    <w:tmpl w:val="885E042A"/>
    <w:lvl w:ilvl="0">
      <w:start w:val="5"/>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AB2435"/>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78B6215"/>
    <w:multiLevelType w:val="multilevel"/>
    <w:tmpl w:val="8F74F5BE"/>
    <w:lvl w:ilvl="0">
      <w:start w:val="9"/>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3437733"/>
    <w:multiLevelType w:val="multilevel"/>
    <w:tmpl w:val="0A48D8B6"/>
    <w:lvl w:ilvl="0">
      <w:start w:val="8"/>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2A6C23B5"/>
    <w:multiLevelType w:val="multilevel"/>
    <w:tmpl w:val="9CAA9D98"/>
    <w:lvl w:ilvl="0">
      <w:start w:val="7"/>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ACB670B"/>
    <w:multiLevelType w:val="multilevel"/>
    <w:tmpl w:val="DF1A66F8"/>
    <w:lvl w:ilvl="0">
      <w:start w:val="10"/>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56809E4"/>
    <w:multiLevelType w:val="multilevel"/>
    <w:tmpl w:val="525639E4"/>
    <w:lvl w:ilvl="0">
      <w:start w:val="6"/>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6995AD3"/>
    <w:multiLevelType w:val="multilevel"/>
    <w:tmpl w:val="44CCBF9C"/>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3CFC5D87"/>
    <w:multiLevelType w:val="multilevel"/>
    <w:tmpl w:val="4D06680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59002911"/>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
  </w:num>
  <w:num w:numId="2">
    <w:abstractNumId w:val="12"/>
  </w:num>
  <w:num w:numId="3">
    <w:abstractNumId w:val="1"/>
  </w:num>
  <w:num w:numId="4">
    <w:abstractNumId w:val="11"/>
  </w:num>
  <w:num w:numId="5">
    <w:abstractNumId w:val="10"/>
  </w:num>
  <w:num w:numId="6">
    <w:abstractNumId w:val="2"/>
  </w:num>
  <w:num w:numId="7">
    <w:abstractNumId w:val="3"/>
  </w:num>
  <w:num w:numId="8">
    <w:abstractNumId w:val="7"/>
  </w:num>
  <w:num w:numId="9">
    <w:abstractNumId w:val="9"/>
  </w:num>
  <w:num w:numId="10">
    <w:abstractNumId w:val="8"/>
  </w:num>
  <w:num w:numId="11">
    <w:abstractNumId w:val="5"/>
  </w:num>
  <w:num w:numId="12">
    <w:abstractNumId w:val="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F9B"/>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3670D"/>
    <w:rsid w:val="00041391"/>
    <w:rsid w:val="00050859"/>
    <w:rsid w:val="00051DD4"/>
    <w:rsid w:val="000521DE"/>
    <w:rsid w:val="0005248C"/>
    <w:rsid w:val="00052B77"/>
    <w:rsid w:val="00055454"/>
    <w:rsid w:val="00061DAE"/>
    <w:rsid w:val="00067154"/>
    <w:rsid w:val="00067D4E"/>
    <w:rsid w:val="00075880"/>
    <w:rsid w:val="000769CA"/>
    <w:rsid w:val="00080A6A"/>
    <w:rsid w:val="00084BD1"/>
    <w:rsid w:val="00086576"/>
    <w:rsid w:val="00087692"/>
    <w:rsid w:val="000A0D68"/>
    <w:rsid w:val="000A50FF"/>
    <w:rsid w:val="000B2CEA"/>
    <w:rsid w:val="000B4E96"/>
    <w:rsid w:val="000B743A"/>
    <w:rsid w:val="000B77CF"/>
    <w:rsid w:val="000D5429"/>
    <w:rsid w:val="000E271D"/>
    <w:rsid w:val="000E33F5"/>
    <w:rsid w:val="000F3AE7"/>
    <w:rsid w:val="000F5507"/>
    <w:rsid w:val="000F5798"/>
    <w:rsid w:val="001012B8"/>
    <w:rsid w:val="00101EDD"/>
    <w:rsid w:val="00102D7E"/>
    <w:rsid w:val="00106125"/>
    <w:rsid w:val="00106CB5"/>
    <w:rsid w:val="001159BE"/>
    <w:rsid w:val="0012017C"/>
    <w:rsid w:val="001206A7"/>
    <w:rsid w:val="00122C2C"/>
    <w:rsid w:val="00124AB2"/>
    <w:rsid w:val="001309ED"/>
    <w:rsid w:val="00134D1A"/>
    <w:rsid w:val="00143155"/>
    <w:rsid w:val="00143F9B"/>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5BB4"/>
    <w:rsid w:val="001C1EA6"/>
    <w:rsid w:val="001D0593"/>
    <w:rsid w:val="001D474F"/>
    <w:rsid w:val="001D6263"/>
    <w:rsid w:val="001E12D1"/>
    <w:rsid w:val="001E3706"/>
    <w:rsid w:val="001E3E95"/>
    <w:rsid w:val="001F1517"/>
    <w:rsid w:val="001F7443"/>
    <w:rsid w:val="00201444"/>
    <w:rsid w:val="00211422"/>
    <w:rsid w:val="00214F1F"/>
    <w:rsid w:val="0022444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4E42"/>
    <w:rsid w:val="00291B55"/>
    <w:rsid w:val="00295D83"/>
    <w:rsid w:val="002A4172"/>
    <w:rsid w:val="002A4435"/>
    <w:rsid w:val="002B1BF8"/>
    <w:rsid w:val="002B5311"/>
    <w:rsid w:val="002B6F91"/>
    <w:rsid w:val="002C19FF"/>
    <w:rsid w:val="002C36A1"/>
    <w:rsid w:val="002C7683"/>
    <w:rsid w:val="002D5139"/>
    <w:rsid w:val="002E4B8D"/>
    <w:rsid w:val="002E6513"/>
    <w:rsid w:val="002E663E"/>
    <w:rsid w:val="002F06D2"/>
    <w:rsid w:val="002F3AED"/>
    <w:rsid w:val="002F6327"/>
    <w:rsid w:val="003004C3"/>
    <w:rsid w:val="003037C2"/>
    <w:rsid w:val="0030402C"/>
    <w:rsid w:val="003160C0"/>
    <w:rsid w:val="00324A82"/>
    <w:rsid w:val="0032631B"/>
    <w:rsid w:val="00326430"/>
    <w:rsid w:val="00326D72"/>
    <w:rsid w:val="00330C7F"/>
    <w:rsid w:val="00331084"/>
    <w:rsid w:val="00331811"/>
    <w:rsid w:val="00334BD5"/>
    <w:rsid w:val="003359D3"/>
    <w:rsid w:val="003433EF"/>
    <w:rsid w:val="00346949"/>
    <w:rsid w:val="00351331"/>
    <w:rsid w:val="00352F9D"/>
    <w:rsid w:val="00353980"/>
    <w:rsid w:val="00366420"/>
    <w:rsid w:val="0037306F"/>
    <w:rsid w:val="00374086"/>
    <w:rsid w:val="0037684F"/>
    <w:rsid w:val="00376B08"/>
    <w:rsid w:val="00380573"/>
    <w:rsid w:val="00383262"/>
    <w:rsid w:val="003914A3"/>
    <w:rsid w:val="0039251E"/>
    <w:rsid w:val="00395DFF"/>
    <w:rsid w:val="00395E80"/>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21001"/>
    <w:rsid w:val="00421BBF"/>
    <w:rsid w:val="00425C24"/>
    <w:rsid w:val="00427B4F"/>
    <w:rsid w:val="00431660"/>
    <w:rsid w:val="00431DAC"/>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4A25"/>
    <w:rsid w:val="00475BFB"/>
    <w:rsid w:val="00476AFC"/>
    <w:rsid w:val="00481503"/>
    <w:rsid w:val="004819CB"/>
    <w:rsid w:val="004861DF"/>
    <w:rsid w:val="004945BF"/>
    <w:rsid w:val="00494E55"/>
    <w:rsid w:val="00495E7F"/>
    <w:rsid w:val="004972FA"/>
    <w:rsid w:val="0049746B"/>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E05AA"/>
    <w:rsid w:val="004E208A"/>
    <w:rsid w:val="004E2A0B"/>
    <w:rsid w:val="004E5C20"/>
    <w:rsid w:val="004F00D1"/>
    <w:rsid w:val="004F18A3"/>
    <w:rsid w:val="004F2781"/>
    <w:rsid w:val="004F3398"/>
    <w:rsid w:val="004F5776"/>
    <w:rsid w:val="004F7E24"/>
    <w:rsid w:val="005153E9"/>
    <w:rsid w:val="00522130"/>
    <w:rsid w:val="00522A41"/>
    <w:rsid w:val="005237EF"/>
    <w:rsid w:val="00526AE3"/>
    <w:rsid w:val="00534B18"/>
    <w:rsid w:val="00536200"/>
    <w:rsid w:val="00540C6E"/>
    <w:rsid w:val="00540E48"/>
    <w:rsid w:val="00542745"/>
    <w:rsid w:val="00542779"/>
    <w:rsid w:val="0055125B"/>
    <w:rsid w:val="005539E5"/>
    <w:rsid w:val="00556FEB"/>
    <w:rsid w:val="00562FA1"/>
    <w:rsid w:val="00564D4C"/>
    <w:rsid w:val="00564D90"/>
    <w:rsid w:val="00566CCD"/>
    <w:rsid w:val="00571206"/>
    <w:rsid w:val="00571AAE"/>
    <w:rsid w:val="005739C6"/>
    <w:rsid w:val="0058220E"/>
    <w:rsid w:val="005823C3"/>
    <w:rsid w:val="0058307F"/>
    <w:rsid w:val="0059023B"/>
    <w:rsid w:val="00590C8C"/>
    <w:rsid w:val="0059183D"/>
    <w:rsid w:val="00593416"/>
    <w:rsid w:val="005948D4"/>
    <w:rsid w:val="00597CBA"/>
    <w:rsid w:val="005B625C"/>
    <w:rsid w:val="005B6F6C"/>
    <w:rsid w:val="005B7360"/>
    <w:rsid w:val="005B77C2"/>
    <w:rsid w:val="005B79EB"/>
    <w:rsid w:val="005C252D"/>
    <w:rsid w:val="005C613B"/>
    <w:rsid w:val="005D01EB"/>
    <w:rsid w:val="005D5CF1"/>
    <w:rsid w:val="005E09F4"/>
    <w:rsid w:val="005E1FD6"/>
    <w:rsid w:val="005F2ABA"/>
    <w:rsid w:val="0060062D"/>
    <w:rsid w:val="00601BE4"/>
    <w:rsid w:val="00605A1C"/>
    <w:rsid w:val="00606367"/>
    <w:rsid w:val="00606568"/>
    <w:rsid w:val="00613DF5"/>
    <w:rsid w:val="00614E27"/>
    <w:rsid w:val="00617144"/>
    <w:rsid w:val="00620F6C"/>
    <w:rsid w:val="00620FCE"/>
    <w:rsid w:val="006221BC"/>
    <w:rsid w:val="00622CBF"/>
    <w:rsid w:val="00622DB8"/>
    <w:rsid w:val="0062328C"/>
    <w:rsid w:val="006251F0"/>
    <w:rsid w:val="00626596"/>
    <w:rsid w:val="006305DB"/>
    <w:rsid w:val="0063764D"/>
    <w:rsid w:val="00654EBE"/>
    <w:rsid w:val="00657505"/>
    <w:rsid w:val="0066575C"/>
    <w:rsid w:val="00665903"/>
    <w:rsid w:val="00667095"/>
    <w:rsid w:val="00671000"/>
    <w:rsid w:val="00671130"/>
    <w:rsid w:val="00676E36"/>
    <w:rsid w:val="006865B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7F52"/>
    <w:rsid w:val="006F0119"/>
    <w:rsid w:val="006F17E6"/>
    <w:rsid w:val="006F2471"/>
    <w:rsid w:val="006F2E9F"/>
    <w:rsid w:val="006F56AC"/>
    <w:rsid w:val="006F6479"/>
    <w:rsid w:val="006F7607"/>
    <w:rsid w:val="00700A2B"/>
    <w:rsid w:val="00701656"/>
    <w:rsid w:val="00704F02"/>
    <w:rsid w:val="007052EB"/>
    <w:rsid w:val="007074B0"/>
    <w:rsid w:val="007105FF"/>
    <w:rsid w:val="0071091F"/>
    <w:rsid w:val="00714330"/>
    <w:rsid w:val="0071717D"/>
    <w:rsid w:val="0071767F"/>
    <w:rsid w:val="00723B02"/>
    <w:rsid w:val="007247EC"/>
    <w:rsid w:val="0072701E"/>
    <w:rsid w:val="007330CF"/>
    <w:rsid w:val="00746CF9"/>
    <w:rsid w:val="0074711F"/>
    <w:rsid w:val="00750C11"/>
    <w:rsid w:val="00751AAB"/>
    <w:rsid w:val="00751F89"/>
    <w:rsid w:val="00760DAB"/>
    <w:rsid w:val="00763BF6"/>
    <w:rsid w:val="007654FA"/>
    <w:rsid w:val="00767088"/>
    <w:rsid w:val="007675D8"/>
    <w:rsid w:val="00771D95"/>
    <w:rsid w:val="0077308D"/>
    <w:rsid w:val="00777E1D"/>
    <w:rsid w:val="007813F8"/>
    <w:rsid w:val="007831B2"/>
    <w:rsid w:val="007835DD"/>
    <w:rsid w:val="00785742"/>
    <w:rsid w:val="00790310"/>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6879"/>
    <w:rsid w:val="0080234C"/>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43C79"/>
    <w:rsid w:val="008440C8"/>
    <w:rsid w:val="0084796D"/>
    <w:rsid w:val="00850532"/>
    <w:rsid w:val="008516A1"/>
    <w:rsid w:val="008551ED"/>
    <w:rsid w:val="00855A6F"/>
    <w:rsid w:val="00860160"/>
    <w:rsid w:val="008609A4"/>
    <w:rsid w:val="00860E3A"/>
    <w:rsid w:val="008625FF"/>
    <w:rsid w:val="00862FCC"/>
    <w:rsid w:val="00866584"/>
    <w:rsid w:val="00873472"/>
    <w:rsid w:val="00880787"/>
    <w:rsid w:val="008824FF"/>
    <w:rsid w:val="00884247"/>
    <w:rsid w:val="008854D9"/>
    <w:rsid w:val="00886352"/>
    <w:rsid w:val="00890C4A"/>
    <w:rsid w:val="00890F6F"/>
    <w:rsid w:val="00891F78"/>
    <w:rsid w:val="00892249"/>
    <w:rsid w:val="00897F08"/>
    <w:rsid w:val="008A04BF"/>
    <w:rsid w:val="008A0955"/>
    <w:rsid w:val="008A355F"/>
    <w:rsid w:val="008A629E"/>
    <w:rsid w:val="008B5DF7"/>
    <w:rsid w:val="008B64D1"/>
    <w:rsid w:val="008B688A"/>
    <w:rsid w:val="008B7A96"/>
    <w:rsid w:val="008C1531"/>
    <w:rsid w:val="008C5846"/>
    <w:rsid w:val="008C5930"/>
    <w:rsid w:val="008C5C95"/>
    <w:rsid w:val="008D0DE0"/>
    <w:rsid w:val="008D22D8"/>
    <w:rsid w:val="008E293F"/>
    <w:rsid w:val="008E3154"/>
    <w:rsid w:val="008E487B"/>
    <w:rsid w:val="008E5F50"/>
    <w:rsid w:val="008E76B8"/>
    <w:rsid w:val="008E7BED"/>
    <w:rsid w:val="008E7D62"/>
    <w:rsid w:val="008F0AF3"/>
    <w:rsid w:val="008F4960"/>
    <w:rsid w:val="00901B19"/>
    <w:rsid w:val="00903176"/>
    <w:rsid w:val="00904AE2"/>
    <w:rsid w:val="00905964"/>
    <w:rsid w:val="00911C9E"/>
    <w:rsid w:val="00915042"/>
    <w:rsid w:val="00917DD8"/>
    <w:rsid w:val="00921994"/>
    <w:rsid w:val="00922259"/>
    <w:rsid w:val="009249C7"/>
    <w:rsid w:val="00926A70"/>
    <w:rsid w:val="00926B52"/>
    <w:rsid w:val="0093158E"/>
    <w:rsid w:val="00935E6D"/>
    <w:rsid w:val="00937D78"/>
    <w:rsid w:val="00940565"/>
    <w:rsid w:val="00952109"/>
    <w:rsid w:val="00960DF5"/>
    <w:rsid w:val="009614CA"/>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11D7"/>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E2F"/>
    <w:rsid w:val="00A95ABA"/>
    <w:rsid w:val="00A96966"/>
    <w:rsid w:val="00AA355D"/>
    <w:rsid w:val="00AA61C0"/>
    <w:rsid w:val="00AA7395"/>
    <w:rsid w:val="00AB2285"/>
    <w:rsid w:val="00AB32A9"/>
    <w:rsid w:val="00AB7D68"/>
    <w:rsid w:val="00AC36EE"/>
    <w:rsid w:val="00AC6463"/>
    <w:rsid w:val="00AC6C20"/>
    <w:rsid w:val="00AC70D5"/>
    <w:rsid w:val="00AD01E1"/>
    <w:rsid w:val="00AE191E"/>
    <w:rsid w:val="00AE7268"/>
    <w:rsid w:val="00AF0AEC"/>
    <w:rsid w:val="00AF1E98"/>
    <w:rsid w:val="00AF70AF"/>
    <w:rsid w:val="00B0324E"/>
    <w:rsid w:val="00B04F4E"/>
    <w:rsid w:val="00B05A68"/>
    <w:rsid w:val="00B10869"/>
    <w:rsid w:val="00B13F44"/>
    <w:rsid w:val="00B20574"/>
    <w:rsid w:val="00B264F8"/>
    <w:rsid w:val="00B403FD"/>
    <w:rsid w:val="00B420EC"/>
    <w:rsid w:val="00B42E13"/>
    <w:rsid w:val="00B445B1"/>
    <w:rsid w:val="00B51E23"/>
    <w:rsid w:val="00B520AD"/>
    <w:rsid w:val="00B526B6"/>
    <w:rsid w:val="00B57962"/>
    <w:rsid w:val="00B634B2"/>
    <w:rsid w:val="00B6472B"/>
    <w:rsid w:val="00B6779F"/>
    <w:rsid w:val="00B678CB"/>
    <w:rsid w:val="00B73217"/>
    <w:rsid w:val="00B7477E"/>
    <w:rsid w:val="00B77A31"/>
    <w:rsid w:val="00B80B35"/>
    <w:rsid w:val="00B822DA"/>
    <w:rsid w:val="00B84351"/>
    <w:rsid w:val="00B84412"/>
    <w:rsid w:val="00B879D2"/>
    <w:rsid w:val="00B94E89"/>
    <w:rsid w:val="00B958BF"/>
    <w:rsid w:val="00B96A93"/>
    <w:rsid w:val="00B9782D"/>
    <w:rsid w:val="00B97887"/>
    <w:rsid w:val="00BA6D12"/>
    <w:rsid w:val="00BB40DC"/>
    <w:rsid w:val="00BB5AEB"/>
    <w:rsid w:val="00BB6F01"/>
    <w:rsid w:val="00BC20C5"/>
    <w:rsid w:val="00BC61A1"/>
    <w:rsid w:val="00BC7276"/>
    <w:rsid w:val="00BD18AA"/>
    <w:rsid w:val="00BD5BC4"/>
    <w:rsid w:val="00BE5230"/>
    <w:rsid w:val="00BE5B86"/>
    <w:rsid w:val="00BE695C"/>
    <w:rsid w:val="00BF0114"/>
    <w:rsid w:val="00BF044A"/>
    <w:rsid w:val="00BF36B7"/>
    <w:rsid w:val="00BF4D1D"/>
    <w:rsid w:val="00BF53BF"/>
    <w:rsid w:val="00C00E05"/>
    <w:rsid w:val="00C00F37"/>
    <w:rsid w:val="00C040D4"/>
    <w:rsid w:val="00C106B6"/>
    <w:rsid w:val="00C15FB0"/>
    <w:rsid w:val="00C177BF"/>
    <w:rsid w:val="00C237FF"/>
    <w:rsid w:val="00C240AF"/>
    <w:rsid w:val="00C24B9C"/>
    <w:rsid w:val="00C27AA5"/>
    <w:rsid w:val="00C32689"/>
    <w:rsid w:val="00C37635"/>
    <w:rsid w:val="00C4072D"/>
    <w:rsid w:val="00C40F42"/>
    <w:rsid w:val="00C4192A"/>
    <w:rsid w:val="00C468B6"/>
    <w:rsid w:val="00C51A50"/>
    <w:rsid w:val="00C5300C"/>
    <w:rsid w:val="00C559DB"/>
    <w:rsid w:val="00C61868"/>
    <w:rsid w:val="00C627C1"/>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2561"/>
    <w:rsid w:val="00CB4A98"/>
    <w:rsid w:val="00CB5235"/>
    <w:rsid w:val="00CB548F"/>
    <w:rsid w:val="00CC03FE"/>
    <w:rsid w:val="00CC2CF6"/>
    <w:rsid w:val="00CD4BB0"/>
    <w:rsid w:val="00CD6374"/>
    <w:rsid w:val="00CE1EC1"/>
    <w:rsid w:val="00CF083C"/>
    <w:rsid w:val="00CF0881"/>
    <w:rsid w:val="00CF1543"/>
    <w:rsid w:val="00CF31AF"/>
    <w:rsid w:val="00CF3783"/>
    <w:rsid w:val="00D02911"/>
    <w:rsid w:val="00D108FA"/>
    <w:rsid w:val="00D127AB"/>
    <w:rsid w:val="00D15B96"/>
    <w:rsid w:val="00D16B14"/>
    <w:rsid w:val="00D172F1"/>
    <w:rsid w:val="00D20F05"/>
    <w:rsid w:val="00D24222"/>
    <w:rsid w:val="00D26701"/>
    <w:rsid w:val="00D40F61"/>
    <w:rsid w:val="00D41E32"/>
    <w:rsid w:val="00D43694"/>
    <w:rsid w:val="00D46BC3"/>
    <w:rsid w:val="00D47CC1"/>
    <w:rsid w:val="00D52817"/>
    <w:rsid w:val="00D56BEC"/>
    <w:rsid w:val="00D57730"/>
    <w:rsid w:val="00D64A80"/>
    <w:rsid w:val="00D7196F"/>
    <w:rsid w:val="00D71A67"/>
    <w:rsid w:val="00D72D7B"/>
    <w:rsid w:val="00D74254"/>
    <w:rsid w:val="00D77EEF"/>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C1D54"/>
    <w:rsid w:val="00DD2329"/>
    <w:rsid w:val="00DD2856"/>
    <w:rsid w:val="00DD7A4F"/>
    <w:rsid w:val="00DE655B"/>
    <w:rsid w:val="00DE6590"/>
    <w:rsid w:val="00DF0EE7"/>
    <w:rsid w:val="00DF0FF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0E72"/>
    <w:rsid w:val="00E613E2"/>
    <w:rsid w:val="00E64D51"/>
    <w:rsid w:val="00E64F5D"/>
    <w:rsid w:val="00E71777"/>
    <w:rsid w:val="00E91435"/>
    <w:rsid w:val="00E96544"/>
    <w:rsid w:val="00EB1F57"/>
    <w:rsid w:val="00EB3440"/>
    <w:rsid w:val="00EC1DDB"/>
    <w:rsid w:val="00EC28C1"/>
    <w:rsid w:val="00EC2C11"/>
    <w:rsid w:val="00ED4D00"/>
    <w:rsid w:val="00ED5894"/>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14B58"/>
    <w:rsid w:val="00F27F5B"/>
    <w:rsid w:val="00F31F8D"/>
    <w:rsid w:val="00F35F08"/>
    <w:rsid w:val="00F36921"/>
    <w:rsid w:val="00F41CA6"/>
    <w:rsid w:val="00F44649"/>
    <w:rsid w:val="00F4581D"/>
    <w:rsid w:val="00F466E9"/>
    <w:rsid w:val="00F54B41"/>
    <w:rsid w:val="00F57AF8"/>
    <w:rsid w:val="00F62612"/>
    <w:rsid w:val="00F65C8D"/>
    <w:rsid w:val="00F65CF5"/>
    <w:rsid w:val="00F71AE4"/>
    <w:rsid w:val="00F739D4"/>
    <w:rsid w:val="00F77AA0"/>
    <w:rsid w:val="00F800D1"/>
    <w:rsid w:val="00F82A30"/>
    <w:rsid w:val="00F838E4"/>
    <w:rsid w:val="00F84DEB"/>
    <w:rsid w:val="00F87164"/>
    <w:rsid w:val="00F95F58"/>
    <w:rsid w:val="00F97961"/>
    <w:rsid w:val="00FA0AEE"/>
    <w:rsid w:val="00FA58E4"/>
    <w:rsid w:val="00FB00E9"/>
    <w:rsid w:val="00FB1B6D"/>
    <w:rsid w:val="00FB20B7"/>
    <w:rsid w:val="00FB47E0"/>
    <w:rsid w:val="00FB5E73"/>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74AFE4-7A18-4EE0-BB2C-AE2AD45BA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00A2B"/>
    <w:pPr>
      <w:spacing w:before="240" w:after="0" w:line="240" w:lineRule="auto"/>
    </w:pPr>
    <w:rPr>
      <w:rFonts w:ascii="Arial" w:eastAsia="Times New Roman" w:hAnsi="Arial" w:cs="Times New Roman"/>
      <w:color w:val="FF00FF"/>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semiHidden/>
    <w:rsid w:val="00700A2B"/>
    <w:pPr>
      <w:tabs>
        <w:tab w:val="center" w:pos="4536"/>
        <w:tab w:val="right" w:pos="9072"/>
      </w:tabs>
    </w:pPr>
  </w:style>
  <w:style w:type="character" w:customStyle="1" w:styleId="NagwekZnak">
    <w:name w:val="Nagłówek Znak"/>
    <w:basedOn w:val="Domylnaczcionkaakapitu"/>
    <w:link w:val="Nagwek"/>
    <w:semiHidden/>
    <w:rsid w:val="00700A2B"/>
    <w:rPr>
      <w:rFonts w:ascii="Arial" w:eastAsia="Times New Roman" w:hAnsi="Arial" w:cs="Times New Roman"/>
      <w:color w:val="FF00FF"/>
      <w:sz w:val="20"/>
      <w:szCs w:val="20"/>
      <w:lang w:eastAsia="pl-PL"/>
    </w:rPr>
  </w:style>
  <w:style w:type="paragraph" w:customStyle="1" w:styleId="TEKST1Tre">
    <w:name w:val="TEKST_1 Treść"/>
    <w:rsid w:val="00700A2B"/>
    <w:pPr>
      <w:spacing w:before="240" w:after="0" w:line="240" w:lineRule="auto"/>
      <w:jc w:val="both"/>
    </w:pPr>
    <w:rPr>
      <w:rFonts w:ascii="Arial" w:eastAsia="Times New Roman" w:hAnsi="Arial" w:cs="Times New Roman"/>
      <w:sz w:val="20"/>
      <w:szCs w:val="20"/>
      <w:lang w:eastAsia="pl-PL"/>
    </w:rPr>
  </w:style>
  <w:style w:type="paragraph" w:customStyle="1" w:styleId="TYTU3SPECYFIKACJA">
    <w:name w:val="TYTUŁ_3 SPECYFIKACJA"/>
    <w:basedOn w:val="Normalny"/>
    <w:next w:val="TEKST1Tre"/>
    <w:rsid w:val="00700A2B"/>
    <w:pPr>
      <w:tabs>
        <w:tab w:val="left" w:pos="1418"/>
      </w:tabs>
      <w:ind w:left="1418" w:hanging="1418"/>
    </w:pPr>
    <w:rPr>
      <w:b/>
      <w:caps/>
      <w:color w:val="auto"/>
      <w:sz w:val="22"/>
    </w:rPr>
  </w:style>
  <w:style w:type="paragraph" w:customStyle="1" w:styleId="PUNKTY11">
    <w:name w:val="PUNKTY_1 1."/>
    <w:next w:val="TEKST1Tre"/>
    <w:rsid w:val="00700A2B"/>
    <w:pPr>
      <w:keepNext/>
      <w:tabs>
        <w:tab w:val="left" w:pos="1021"/>
      </w:tabs>
      <w:spacing w:before="480" w:after="0" w:line="240" w:lineRule="auto"/>
      <w:ind w:left="851" w:hanging="851"/>
    </w:pPr>
    <w:rPr>
      <w:rFonts w:ascii="Arial" w:eastAsia="Times New Roman" w:hAnsi="Arial" w:cs="Times New Roman"/>
      <w:b/>
      <w:caps/>
      <w:sz w:val="20"/>
      <w:szCs w:val="20"/>
      <w:lang w:eastAsia="pl-PL"/>
    </w:rPr>
  </w:style>
  <w:style w:type="paragraph" w:customStyle="1" w:styleId="PUNKTY212">
    <w:name w:val="PUNKTY_2 1.2."/>
    <w:basedOn w:val="PUNKTY11"/>
    <w:next w:val="TEKST1Tre"/>
    <w:rsid w:val="00700A2B"/>
    <w:pPr>
      <w:tabs>
        <w:tab w:val="clear" w:pos="1021"/>
        <w:tab w:val="left" w:pos="851"/>
      </w:tabs>
      <w:spacing w:before="240"/>
    </w:pPr>
    <w:rPr>
      <w:caps w:val="0"/>
    </w:rPr>
  </w:style>
  <w:style w:type="paragraph" w:styleId="Stopka">
    <w:name w:val="footer"/>
    <w:basedOn w:val="Normalny"/>
    <w:link w:val="StopkaZnak"/>
    <w:uiPriority w:val="99"/>
    <w:unhideWhenUsed/>
    <w:rsid w:val="00D64A80"/>
    <w:pPr>
      <w:tabs>
        <w:tab w:val="center" w:pos="4536"/>
        <w:tab w:val="right" w:pos="9072"/>
      </w:tabs>
      <w:spacing w:before="0"/>
    </w:pPr>
  </w:style>
  <w:style w:type="character" w:customStyle="1" w:styleId="StopkaZnak">
    <w:name w:val="Stopka Znak"/>
    <w:basedOn w:val="Domylnaczcionkaakapitu"/>
    <w:link w:val="Stopka"/>
    <w:uiPriority w:val="99"/>
    <w:rsid w:val="00D64A80"/>
    <w:rPr>
      <w:rFonts w:ascii="Arial" w:eastAsia="Times New Roman" w:hAnsi="Arial" w:cs="Times New Roman"/>
      <w:color w:val="FF00FF"/>
      <w:sz w:val="20"/>
      <w:szCs w:val="20"/>
      <w:lang w:eastAsia="pl-PL"/>
    </w:rPr>
  </w:style>
  <w:style w:type="paragraph" w:customStyle="1" w:styleId="NAGWEK1SPECYFIKACJA">
    <w:name w:val="NAGŁÓWEK_1_SPECYFIKACJA"/>
    <w:rsid w:val="00431DAC"/>
    <w:pPr>
      <w:tabs>
        <w:tab w:val="left" w:pos="1134"/>
      </w:tabs>
      <w:spacing w:after="0" w:line="240" w:lineRule="auto"/>
      <w:ind w:left="1134" w:hanging="1134"/>
    </w:pPr>
    <w:rPr>
      <w:rFonts w:ascii="Arial" w:eastAsia="Times New Roman" w:hAnsi="Arial" w:cs="Times New Roman"/>
      <w:caps/>
      <w:sz w:val="16"/>
      <w:szCs w:val="20"/>
      <w:lang w:eastAsia="pl-PL"/>
    </w:rPr>
  </w:style>
  <w:style w:type="paragraph" w:styleId="Tekstdymka">
    <w:name w:val="Balloon Text"/>
    <w:basedOn w:val="Normalny"/>
    <w:link w:val="TekstdymkaZnak"/>
    <w:uiPriority w:val="99"/>
    <w:semiHidden/>
    <w:unhideWhenUsed/>
    <w:rsid w:val="00431DAC"/>
    <w:pPr>
      <w:spacing w:before="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31DAC"/>
    <w:rPr>
      <w:rFonts w:ascii="Segoe UI" w:eastAsia="Times New Roman" w:hAnsi="Segoe UI" w:cs="Segoe UI"/>
      <w:color w:val="FF00FF"/>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4261</Words>
  <Characters>25570</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19</cp:revision>
  <cp:lastPrinted>2015-01-14T11:28:00Z</cp:lastPrinted>
  <dcterms:created xsi:type="dcterms:W3CDTF">2015-01-11T19:39:00Z</dcterms:created>
  <dcterms:modified xsi:type="dcterms:W3CDTF">2019-11-09T22:09:00Z</dcterms:modified>
</cp:coreProperties>
</file>