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82" w:rsidRPr="00523BCD" w:rsidRDefault="00523BCD" w:rsidP="00523BCD">
      <w:pPr>
        <w:jc w:val="center"/>
        <w:rPr>
          <w:b/>
          <w:sz w:val="26"/>
          <w:szCs w:val="26"/>
        </w:rPr>
      </w:pPr>
      <w:r w:rsidRPr="00523BCD">
        <w:rPr>
          <w:b/>
          <w:sz w:val="26"/>
          <w:szCs w:val="26"/>
        </w:rPr>
        <w:t xml:space="preserve">MATERIAŁY INFORMACYJNE DO PROJEKTU </w:t>
      </w:r>
      <w:r>
        <w:rPr>
          <w:b/>
          <w:sz w:val="26"/>
          <w:szCs w:val="26"/>
        </w:rPr>
        <w:t>UCHWAŁY BUDŻETOWEJ</w:t>
      </w:r>
      <w:r w:rsidRPr="00523BCD">
        <w:rPr>
          <w:b/>
          <w:sz w:val="26"/>
          <w:szCs w:val="26"/>
        </w:rPr>
        <w:t xml:space="preserve"> NA 2015R.</w:t>
      </w:r>
    </w:p>
    <w:p w:rsidR="00523BCD" w:rsidRDefault="00523BCD"/>
    <w:p w:rsidR="00523BCD" w:rsidRPr="002A4A20" w:rsidRDefault="00523BCD" w:rsidP="00523BCD">
      <w:pPr>
        <w:pStyle w:val="Akapitzlist"/>
        <w:numPr>
          <w:ilvl w:val="0"/>
          <w:numId w:val="1"/>
        </w:numPr>
        <w:rPr>
          <w:b/>
        </w:rPr>
      </w:pPr>
      <w:r w:rsidRPr="002A4A20">
        <w:rPr>
          <w:b/>
        </w:rPr>
        <w:t xml:space="preserve">Realizacja dochodów </w:t>
      </w:r>
      <w:r w:rsidR="00EE01E9" w:rsidRPr="002A4A20">
        <w:rPr>
          <w:b/>
        </w:rPr>
        <w:t xml:space="preserve">budżetowych za lata 2011-2013 i </w:t>
      </w:r>
      <w:r w:rsidRPr="002A4A20">
        <w:rPr>
          <w:b/>
        </w:rPr>
        <w:t xml:space="preserve">za trzy kwartały </w:t>
      </w:r>
      <w:r w:rsidR="00EE01E9" w:rsidRPr="002A4A20">
        <w:rPr>
          <w:b/>
        </w:rPr>
        <w:t xml:space="preserve">2014 r. oraz przewidywane wykonanie w </w:t>
      </w:r>
      <w:r w:rsidRPr="002A4A20">
        <w:rPr>
          <w:b/>
        </w:rPr>
        <w:t>2014 roku</w:t>
      </w:r>
    </w:p>
    <w:p w:rsidR="00F567B0" w:rsidRPr="00F567B0" w:rsidRDefault="00F567B0" w:rsidP="00EE01E9">
      <w:pPr>
        <w:pStyle w:val="Akapitzlist"/>
        <w:ind w:right="-286"/>
        <w:jc w:val="both"/>
        <w:rPr>
          <w:sz w:val="20"/>
          <w:szCs w:val="20"/>
        </w:rPr>
      </w:pPr>
    </w:p>
    <w:tbl>
      <w:tblPr>
        <w:tblW w:w="992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127"/>
        <w:gridCol w:w="566"/>
        <w:gridCol w:w="1416"/>
        <w:gridCol w:w="1276"/>
        <w:gridCol w:w="1416"/>
        <w:gridCol w:w="1280"/>
        <w:gridCol w:w="1274"/>
      </w:tblGrid>
      <w:tr w:rsidR="00F567B0" w:rsidTr="00EE01E9">
        <w:trPr>
          <w:trHeight w:val="393"/>
        </w:trPr>
        <w:tc>
          <w:tcPr>
            <w:tcW w:w="566" w:type="dxa"/>
            <w:vMerge w:val="restart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L.P.</w:t>
            </w: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Treść</w:t>
            </w: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Merge w:val="restart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1416" w:type="dxa"/>
            <w:vMerge w:val="restart"/>
          </w:tcPr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2011 r.</w:t>
            </w:r>
          </w:p>
        </w:tc>
        <w:tc>
          <w:tcPr>
            <w:tcW w:w="1276" w:type="dxa"/>
            <w:vMerge w:val="restart"/>
          </w:tcPr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2012 r.</w:t>
            </w:r>
          </w:p>
        </w:tc>
        <w:tc>
          <w:tcPr>
            <w:tcW w:w="1416" w:type="dxa"/>
            <w:vMerge w:val="restart"/>
          </w:tcPr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2013 r.</w:t>
            </w:r>
          </w:p>
        </w:tc>
        <w:tc>
          <w:tcPr>
            <w:tcW w:w="2554" w:type="dxa"/>
            <w:gridSpan w:val="2"/>
          </w:tcPr>
          <w:p w:rsidR="00F567B0" w:rsidRDefault="00F567B0" w:rsidP="00EE01E9">
            <w:pPr>
              <w:spacing w:after="0" w:line="240" w:lineRule="auto"/>
              <w:ind w:right="-28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2014</w:t>
            </w:r>
          </w:p>
          <w:p w:rsidR="00F567B0" w:rsidRDefault="00F567B0" w:rsidP="00EE01E9">
            <w:pPr>
              <w:spacing w:after="0"/>
              <w:ind w:right="-286"/>
              <w:jc w:val="center"/>
              <w:rPr>
                <w:b/>
                <w:sz w:val="14"/>
                <w:szCs w:val="14"/>
              </w:rPr>
            </w:pPr>
          </w:p>
        </w:tc>
      </w:tr>
      <w:tr w:rsidR="00F567B0" w:rsidTr="00EE01E9">
        <w:trPr>
          <w:trHeight w:val="599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  <w:vMerge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Wykonanie </w:t>
            </w: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za 3 kwartały </w:t>
            </w:r>
          </w:p>
        </w:tc>
        <w:tc>
          <w:tcPr>
            <w:tcW w:w="1274" w:type="dxa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Przewidywane</w:t>
            </w: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wykonanie</w:t>
            </w:r>
          </w:p>
        </w:tc>
      </w:tr>
      <w:tr w:rsidR="00F567B0" w:rsidTr="003E170A">
        <w:trPr>
          <w:trHeight w:val="215"/>
        </w:trPr>
        <w:tc>
          <w:tcPr>
            <w:tcW w:w="566" w:type="dxa"/>
            <w:vMerge w:val="restart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2127" w:type="dxa"/>
            <w:vMerge w:val="restart"/>
          </w:tcPr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Dochody  ogółem,  z tego :</w:t>
            </w:r>
          </w:p>
          <w:p w:rsidR="00F567B0" w:rsidRDefault="00F567B0" w:rsidP="00EE01E9">
            <w:pPr>
              <w:spacing w:after="0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Rok/rok -1 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34 332 791,68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35 795 876,23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38 701 099,65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31 552 012,03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41 307 254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3E170A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Default="00F567B0" w:rsidP="003E170A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3E170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%/%</w:t>
            </w:r>
          </w:p>
        </w:tc>
        <w:tc>
          <w:tcPr>
            <w:tcW w:w="1416" w:type="dxa"/>
          </w:tcPr>
          <w:p w:rsidR="00F567B0" w:rsidRPr="00E93A87" w:rsidRDefault="00F567B0" w:rsidP="003E1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</w:t>
            </w:r>
          </w:p>
        </w:tc>
        <w:tc>
          <w:tcPr>
            <w:tcW w:w="1276" w:type="dxa"/>
          </w:tcPr>
          <w:p w:rsidR="00F567B0" w:rsidRPr="00E93A87" w:rsidRDefault="00F567B0" w:rsidP="003E1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1416" w:type="dxa"/>
          </w:tcPr>
          <w:p w:rsidR="00F567B0" w:rsidRPr="00E93A87" w:rsidRDefault="00F567B0" w:rsidP="003E1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</w:tc>
        <w:tc>
          <w:tcPr>
            <w:tcW w:w="1280" w:type="dxa"/>
          </w:tcPr>
          <w:p w:rsidR="00F567B0" w:rsidRPr="00E93A87" w:rsidRDefault="00F567B0" w:rsidP="003E1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3E1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</w:t>
            </w:r>
          </w:p>
        </w:tc>
        <w:tc>
          <w:tcPr>
            <w:tcW w:w="2127" w:type="dxa"/>
            <w:vMerge w:val="restart"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Bieżące,  z tego :</w:t>
            </w:r>
          </w:p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/ do roku -1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33 744 297,68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35 704 123,64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37 137 845,94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30 647 619,04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38 888 447</w:t>
            </w:r>
          </w:p>
        </w:tc>
      </w:tr>
      <w:tr w:rsidR="00F567B0" w:rsidTr="003E170A">
        <w:trPr>
          <w:trHeight w:val="204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1.1.1.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Udziały w podatku dochodowym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od osób fizycznych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3 105 362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3 692 826,00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3 847 942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2 987 191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4 215 017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109,5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1.1.2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Udziały w podatku dochodowym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od osób prawnych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111 549,43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97 232,64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52 135,78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95 876,21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F567B0" w:rsidTr="003E170A">
        <w:trPr>
          <w:trHeight w:val="169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3A87"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1.1.3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Podatki  i opłaty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 lokalne,  z tego :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4 361 835,59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4 650 715,00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5 061 062,50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4 723 817,80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5 685 100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118,3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108,8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</w:t>
            </w:r>
          </w:p>
        </w:tc>
      </w:tr>
      <w:tr w:rsidR="00F567B0" w:rsidTr="003E170A">
        <w:trPr>
          <w:trHeight w:val="185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- Podatek od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nieruchomości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2 131 429,60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2 436 336,05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2 489 870,89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2 089 098,58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2 600 000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</w:tr>
      <w:tr w:rsidR="00F567B0" w:rsidTr="003E170A">
        <w:trPr>
          <w:trHeight w:val="193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- Podatek od środków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 transportowych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619 129,66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583 367,30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655 718,48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568 167,70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661 000</w:t>
            </w:r>
          </w:p>
        </w:tc>
      </w:tr>
      <w:tr w:rsidR="00F567B0" w:rsidTr="003E170A">
        <w:trPr>
          <w:trHeight w:val="172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123,5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112,4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- Pozostałe podatki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i opłaty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1 611 276,33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1 631 011,65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1 915 473,13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2 066 551,52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2 424 100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127,4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117,4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1.1.4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Subwencja ogólna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18 898 710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19 783 303,00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20 210 614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16 451 948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20 250 301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</w:tr>
      <w:tr w:rsidR="00F567B0" w:rsidTr="003E170A">
        <w:trPr>
          <w:trHeight w:val="172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1.1.5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Dotacje celowe na zadania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z zakresu  adm. rządowej 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5 412 907,85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5 660 249,41</w:t>
            </w:r>
          </w:p>
        </w:tc>
        <w:tc>
          <w:tcPr>
            <w:tcW w:w="1416" w:type="dxa"/>
          </w:tcPr>
          <w:p w:rsidR="00F567B0" w:rsidRPr="00077222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5 812 259,02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4 675 446,83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6 272 150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1.1.6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Dotacje celowe na zadania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Własne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669 775,50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726 157,79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1 066 454,63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935 381,51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1 272 076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146,9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3A87"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>1.1.7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2D18DB">
              <w:rPr>
                <w:sz w:val="14"/>
                <w:szCs w:val="14"/>
              </w:rPr>
              <w:t xml:space="preserve">Pozostałe dochody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2D18DB">
              <w:rPr>
                <w:sz w:val="14"/>
                <w:szCs w:val="14"/>
              </w:rPr>
              <w:t>ieżące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873 767,75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623 025,91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582 469,06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377 375,46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588 154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1.1.8</w:t>
            </w:r>
          </w:p>
        </w:tc>
        <w:tc>
          <w:tcPr>
            <w:tcW w:w="2127" w:type="dxa"/>
            <w:vMerge w:val="restart"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2D18DB">
              <w:rPr>
                <w:sz w:val="14"/>
                <w:szCs w:val="14"/>
              </w:rPr>
              <w:t xml:space="preserve">ochody </w:t>
            </w:r>
          </w:p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2D18DB">
              <w:rPr>
                <w:sz w:val="14"/>
                <w:szCs w:val="14"/>
              </w:rPr>
              <w:t>ieżące</w:t>
            </w:r>
            <w:r>
              <w:rPr>
                <w:sz w:val="14"/>
                <w:szCs w:val="14"/>
              </w:rPr>
              <w:t xml:space="preserve">  pochodzące z UE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310 389,58</w:t>
            </w:r>
          </w:p>
        </w:tc>
        <w:tc>
          <w:tcPr>
            <w:tcW w:w="127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441 045,89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504 908,95</w:t>
            </w:r>
          </w:p>
        </w:tc>
        <w:tc>
          <w:tcPr>
            <w:tcW w:w="1280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400 582,23</w:t>
            </w:r>
          </w:p>
        </w:tc>
        <w:tc>
          <w:tcPr>
            <w:tcW w:w="1274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505 649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Pr="002D18DB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84,2</w:t>
            </w:r>
          </w:p>
        </w:tc>
        <w:tc>
          <w:tcPr>
            <w:tcW w:w="127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</w:tc>
        <w:tc>
          <w:tcPr>
            <w:tcW w:w="1280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 w:val="restart"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</w:t>
            </w:r>
          </w:p>
        </w:tc>
        <w:tc>
          <w:tcPr>
            <w:tcW w:w="2127" w:type="dxa"/>
            <w:vMerge w:val="restart"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Dochody majątkowe krajowe</w:t>
            </w:r>
          </w:p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482 445,00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91 754,00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1 563 253,71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904 392,99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2 418 807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154,6</w:t>
            </w:r>
          </w:p>
        </w:tc>
        <w:tc>
          <w:tcPr>
            <w:tcW w:w="127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1703,7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</w:tcPr>
          <w:p w:rsidR="00F567B0" w:rsidRPr="00463A4D" w:rsidRDefault="00F567B0" w:rsidP="00EE01E9">
            <w:pPr>
              <w:spacing w:after="0" w:line="240" w:lineRule="auto"/>
              <w:ind w:right="-286"/>
              <w:rPr>
                <w:sz w:val="14"/>
                <w:szCs w:val="14"/>
              </w:rPr>
            </w:pPr>
            <w:r w:rsidRPr="00463A4D">
              <w:rPr>
                <w:sz w:val="14"/>
                <w:szCs w:val="14"/>
              </w:rPr>
              <w:t>Pochodzące z UE</w:t>
            </w: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106 049</w:t>
            </w:r>
          </w:p>
        </w:tc>
        <w:tc>
          <w:tcPr>
            <w:tcW w:w="127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157 262,10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733 489,41</w:t>
            </w:r>
          </w:p>
        </w:tc>
        <w:tc>
          <w:tcPr>
            <w:tcW w:w="1274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1 860 921</w:t>
            </w:r>
          </w:p>
        </w:tc>
      </w:tr>
      <w:tr w:rsidR="00F567B0" w:rsidTr="003E170A">
        <w:trPr>
          <w:trHeight w:val="161"/>
        </w:trPr>
        <w:tc>
          <w:tcPr>
            <w:tcW w:w="566" w:type="dxa"/>
            <w:vMerge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127" w:type="dxa"/>
          </w:tcPr>
          <w:p w:rsidR="00F567B0" w:rsidRDefault="00F567B0" w:rsidP="00EE01E9">
            <w:pPr>
              <w:spacing w:after="0" w:line="240" w:lineRule="auto"/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</w:tcPr>
          <w:p w:rsidR="00F567B0" w:rsidRDefault="00F567B0" w:rsidP="00EE01E9">
            <w:pPr>
              <w:spacing w:after="0" w:line="240" w:lineRule="auto"/>
              <w:ind w:right="-286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16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16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80" w:type="dxa"/>
          </w:tcPr>
          <w:p w:rsidR="00F567B0" w:rsidRPr="00E93A87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4" w:type="dxa"/>
          </w:tcPr>
          <w:p w:rsidR="00F567B0" w:rsidRDefault="00F567B0" w:rsidP="00EE01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F567B0" w:rsidRDefault="00F567B0" w:rsidP="00EE01E9">
      <w:pPr>
        <w:spacing w:after="0" w:line="240" w:lineRule="auto"/>
        <w:ind w:right="-286"/>
        <w:rPr>
          <w:sz w:val="14"/>
          <w:szCs w:val="14"/>
        </w:rPr>
      </w:pPr>
    </w:p>
    <w:p w:rsidR="00EE01E9" w:rsidRDefault="00EE01E9" w:rsidP="00EE01E9">
      <w:pPr>
        <w:spacing w:after="0" w:line="240" w:lineRule="auto"/>
        <w:ind w:right="-286"/>
        <w:rPr>
          <w:sz w:val="14"/>
          <w:szCs w:val="14"/>
        </w:rPr>
      </w:pPr>
    </w:p>
    <w:p w:rsidR="00EE01E9" w:rsidRPr="002A4A20" w:rsidRDefault="00EE01E9" w:rsidP="00EE01E9">
      <w:pPr>
        <w:spacing w:after="0" w:line="240" w:lineRule="auto"/>
        <w:ind w:right="-286"/>
        <w:rPr>
          <w:b/>
        </w:rPr>
      </w:pPr>
      <w:r w:rsidRPr="002A4A20">
        <w:rPr>
          <w:b/>
        </w:rPr>
        <w:t xml:space="preserve">Realizacja wydatków budżetowych </w:t>
      </w:r>
      <w:r w:rsidR="00F91B50" w:rsidRPr="002A4A20">
        <w:rPr>
          <w:b/>
        </w:rPr>
        <w:t>za lata 2011-2013 i</w:t>
      </w:r>
      <w:r w:rsidRPr="002A4A20">
        <w:rPr>
          <w:b/>
        </w:rPr>
        <w:t xml:space="preserve"> za trzy kwartały 2014 r. oraz przewidywane wykonanie w 2014 roku</w:t>
      </w:r>
    </w:p>
    <w:p w:rsidR="00EE01E9" w:rsidRDefault="00EE01E9" w:rsidP="00EE01E9">
      <w:pPr>
        <w:spacing w:after="0" w:line="240" w:lineRule="auto"/>
        <w:ind w:right="-286"/>
      </w:pPr>
    </w:p>
    <w:p w:rsidR="00EE01E9" w:rsidRPr="008A309A" w:rsidRDefault="00EE01E9" w:rsidP="00EE01E9">
      <w:pPr>
        <w:pStyle w:val="Akapitzlist1"/>
        <w:spacing w:after="0" w:line="240" w:lineRule="auto"/>
        <w:ind w:left="0" w:right="-286"/>
        <w:rPr>
          <w:rFonts w:ascii="Times New Roman" w:hAnsi="Times New Roman"/>
          <w:kern w:val="22"/>
          <w:sz w:val="24"/>
          <w:szCs w:val="24"/>
        </w:rPr>
      </w:pPr>
    </w:p>
    <w:tbl>
      <w:tblPr>
        <w:tblW w:w="9898" w:type="dxa"/>
        <w:jc w:val="center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984"/>
        <w:gridCol w:w="426"/>
        <w:gridCol w:w="1327"/>
        <w:gridCol w:w="1418"/>
        <w:gridCol w:w="1275"/>
        <w:gridCol w:w="1418"/>
        <w:gridCol w:w="1444"/>
      </w:tblGrid>
      <w:tr w:rsidR="00F91B50" w:rsidRPr="00EE01E9" w:rsidTr="00F91B50">
        <w:trPr>
          <w:trHeight w:val="209"/>
          <w:jc w:val="center"/>
        </w:trPr>
        <w:tc>
          <w:tcPr>
            <w:tcW w:w="606" w:type="dxa"/>
            <w:vMerge w:val="restart"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vMerge w:val="restart"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Treść</w:t>
            </w:r>
          </w:p>
        </w:tc>
        <w:tc>
          <w:tcPr>
            <w:tcW w:w="426" w:type="dxa"/>
            <w:vMerge w:val="restart"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327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1418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1275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862" w:type="dxa"/>
            <w:gridSpan w:val="2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2014 r.</w:t>
            </w:r>
          </w:p>
        </w:tc>
      </w:tr>
      <w:tr w:rsidR="00F91B50" w:rsidRPr="00EE01E9" w:rsidTr="00F91B50">
        <w:trPr>
          <w:trHeight w:val="235"/>
          <w:jc w:val="center"/>
        </w:trPr>
        <w:tc>
          <w:tcPr>
            <w:tcW w:w="606" w:type="dxa"/>
            <w:vMerge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91B50" w:rsidRPr="00EE01E9" w:rsidRDefault="00F91B50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Wykonanie</w:t>
            </w:r>
          </w:p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za   3 kwartały</w:t>
            </w:r>
          </w:p>
        </w:tc>
        <w:tc>
          <w:tcPr>
            <w:tcW w:w="1444" w:type="dxa"/>
          </w:tcPr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Przewidywane</w:t>
            </w:r>
          </w:p>
          <w:p w:rsidR="00F91B50" w:rsidRPr="00EE01E9" w:rsidRDefault="00F91B50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Wykonanie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2590" w:type="dxa"/>
            <w:gridSpan w:val="2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Wydatki ogółem ,   z tego :</w:t>
            </w:r>
          </w:p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both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607DF9" w:rsidRDefault="00096A3B" w:rsidP="00F91B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38 140 055,31</w:t>
            </w:r>
          </w:p>
        </w:tc>
        <w:tc>
          <w:tcPr>
            <w:tcW w:w="1418" w:type="dxa"/>
          </w:tcPr>
          <w:p w:rsidR="00096A3B" w:rsidRPr="00607DF9" w:rsidRDefault="00096A3B" w:rsidP="00F91B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33 829 907,71</w:t>
            </w:r>
          </w:p>
        </w:tc>
        <w:tc>
          <w:tcPr>
            <w:tcW w:w="1275" w:type="dxa"/>
          </w:tcPr>
          <w:p w:rsidR="00096A3B" w:rsidRPr="00607DF9" w:rsidRDefault="00096A3B" w:rsidP="003E17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40 700 642,10</w:t>
            </w:r>
          </w:p>
        </w:tc>
        <w:tc>
          <w:tcPr>
            <w:tcW w:w="1418" w:type="dxa"/>
          </w:tcPr>
          <w:p w:rsidR="00096A3B" w:rsidRPr="00607DF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607DF9">
              <w:rPr>
                <w:b/>
                <w:sz w:val="16"/>
                <w:szCs w:val="16"/>
              </w:rPr>
              <w:t>28 998 844,76</w:t>
            </w:r>
          </w:p>
        </w:tc>
        <w:tc>
          <w:tcPr>
            <w:tcW w:w="1444" w:type="dxa"/>
          </w:tcPr>
          <w:p w:rsidR="00096A3B" w:rsidRPr="00607DF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607DF9">
              <w:rPr>
                <w:b/>
                <w:sz w:val="16"/>
                <w:szCs w:val="16"/>
              </w:rPr>
              <w:t>41 473 382</w:t>
            </w:r>
          </w:p>
        </w:tc>
      </w:tr>
      <w:tr w:rsidR="00096A3B" w:rsidRPr="00EE01E9" w:rsidTr="00F91B50">
        <w:trPr>
          <w:trHeight w:val="243"/>
          <w:jc w:val="center"/>
        </w:trPr>
        <w:tc>
          <w:tcPr>
            <w:tcW w:w="60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Wydatki bieżące,    z tego :</w:t>
            </w:r>
          </w:p>
        </w:tc>
        <w:tc>
          <w:tcPr>
            <w:tcW w:w="42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both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96A3B" w:rsidP="00F91B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30 829 200,88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32 156 332,59</w:t>
            </w:r>
          </w:p>
        </w:tc>
        <w:tc>
          <w:tcPr>
            <w:tcW w:w="1275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33 957 693,79</w:t>
            </w:r>
          </w:p>
        </w:tc>
        <w:tc>
          <w:tcPr>
            <w:tcW w:w="1418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27 000 662,20</w:t>
            </w:r>
          </w:p>
        </w:tc>
        <w:tc>
          <w:tcPr>
            <w:tcW w:w="144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36 330 109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606" w:type="dxa"/>
            <w:vMerge w:val="restart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Wynagrodzenia i  pochodne</w:t>
            </w:r>
          </w:p>
        </w:tc>
        <w:tc>
          <w:tcPr>
            <w:tcW w:w="42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both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96A3B" w:rsidP="00F91B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15 374 329,96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16 485 975,48</w:t>
            </w:r>
          </w:p>
        </w:tc>
        <w:tc>
          <w:tcPr>
            <w:tcW w:w="1275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17 317 265,70</w:t>
            </w:r>
          </w:p>
        </w:tc>
        <w:tc>
          <w:tcPr>
            <w:tcW w:w="1418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14 675 277,88</w:t>
            </w:r>
          </w:p>
        </w:tc>
        <w:tc>
          <w:tcPr>
            <w:tcW w:w="144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17 763 837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606" w:type="dxa"/>
            <w:vMerge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Dotacje</w:t>
            </w:r>
          </w:p>
        </w:tc>
        <w:tc>
          <w:tcPr>
            <w:tcW w:w="426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96A3B" w:rsidP="00F91B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1 214 302,00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1 327 717,91</w:t>
            </w:r>
          </w:p>
        </w:tc>
        <w:tc>
          <w:tcPr>
            <w:tcW w:w="1275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1 275 738,30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937 434,98</w:t>
            </w:r>
          </w:p>
        </w:tc>
        <w:tc>
          <w:tcPr>
            <w:tcW w:w="144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1 332 433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606" w:type="dxa"/>
            <w:vMerge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Obsługa długu</w:t>
            </w:r>
          </w:p>
        </w:tc>
        <w:tc>
          <w:tcPr>
            <w:tcW w:w="426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96A3B" w:rsidP="00F91B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679 814,85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803 070,55</w:t>
            </w:r>
          </w:p>
        </w:tc>
        <w:tc>
          <w:tcPr>
            <w:tcW w:w="1275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602 442,02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330 309,17</w:t>
            </w:r>
          </w:p>
        </w:tc>
        <w:tc>
          <w:tcPr>
            <w:tcW w:w="144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580 000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606" w:type="dxa"/>
            <w:vMerge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Pozostałe wydatki bieżące</w:t>
            </w:r>
            <w:r w:rsidR="00DE75AE">
              <w:rPr>
                <w:sz w:val="16"/>
                <w:szCs w:val="16"/>
              </w:rPr>
              <w:t xml:space="preserve"> w tym z UE:</w:t>
            </w:r>
          </w:p>
        </w:tc>
        <w:tc>
          <w:tcPr>
            <w:tcW w:w="426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94166A" w:rsidP="00F91B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13 560 754,07</w:t>
            </w:r>
          </w:p>
        </w:tc>
        <w:tc>
          <w:tcPr>
            <w:tcW w:w="1418" w:type="dxa"/>
          </w:tcPr>
          <w:p w:rsidR="00096A3B" w:rsidRPr="00EE01E9" w:rsidRDefault="0094166A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13 539 568,65</w:t>
            </w:r>
          </w:p>
        </w:tc>
        <w:tc>
          <w:tcPr>
            <w:tcW w:w="1275" w:type="dxa"/>
          </w:tcPr>
          <w:p w:rsidR="00096A3B" w:rsidRPr="00EE01E9" w:rsidRDefault="0094166A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14 762 247,77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11 057 640,17</w:t>
            </w:r>
          </w:p>
        </w:tc>
        <w:tc>
          <w:tcPr>
            <w:tcW w:w="1444" w:type="dxa"/>
          </w:tcPr>
          <w:p w:rsidR="00096A3B" w:rsidRPr="00EE01E9" w:rsidRDefault="00096A3B" w:rsidP="003E170A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 w:rsidRPr="00EE01E9">
              <w:rPr>
                <w:sz w:val="16"/>
                <w:szCs w:val="16"/>
              </w:rPr>
              <w:t>19 179 161</w:t>
            </w:r>
          </w:p>
        </w:tc>
      </w:tr>
      <w:tr w:rsidR="00096A3B" w:rsidRPr="00EE01E9" w:rsidTr="00F91B50">
        <w:trPr>
          <w:trHeight w:val="172"/>
          <w:jc w:val="center"/>
        </w:trPr>
        <w:tc>
          <w:tcPr>
            <w:tcW w:w="606" w:type="dxa"/>
            <w:vMerge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454F2" w:rsidP="00F91B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345 502,23</w:t>
            </w:r>
          </w:p>
        </w:tc>
        <w:tc>
          <w:tcPr>
            <w:tcW w:w="1418" w:type="dxa"/>
          </w:tcPr>
          <w:p w:rsidR="00096A3B" w:rsidRPr="00EE01E9" w:rsidRDefault="00472989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432 215,29</w:t>
            </w:r>
          </w:p>
        </w:tc>
        <w:tc>
          <w:tcPr>
            <w:tcW w:w="1275" w:type="dxa"/>
          </w:tcPr>
          <w:p w:rsidR="00096A3B" w:rsidRPr="00EE01E9" w:rsidRDefault="00472989" w:rsidP="003E17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565 137,15</w:t>
            </w:r>
          </w:p>
        </w:tc>
        <w:tc>
          <w:tcPr>
            <w:tcW w:w="1418" w:type="dxa"/>
          </w:tcPr>
          <w:p w:rsidR="00096A3B" w:rsidRPr="00EE01E9" w:rsidRDefault="000454F2" w:rsidP="00EE01E9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360 347,03</w:t>
            </w:r>
          </w:p>
        </w:tc>
        <w:tc>
          <w:tcPr>
            <w:tcW w:w="1444" w:type="dxa"/>
          </w:tcPr>
          <w:p w:rsidR="00096A3B" w:rsidRPr="00EE01E9" w:rsidRDefault="000454F2" w:rsidP="00EE01E9">
            <w:pPr>
              <w:spacing w:after="0" w:line="240" w:lineRule="auto"/>
              <w:ind w:right="-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502 900,00</w:t>
            </w:r>
          </w:p>
        </w:tc>
      </w:tr>
      <w:tr w:rsidR="00096A3B" w:rsidRPr="00EE01E9" w:rsidTr="00F91B50">
        <w:trPr>
          <w:trHeight w:val="161"/>
          <w:jc w:val="center"/>
        </w:trPr>
        <w:tc>
          <w:tcPr>
            <w:tcW w:w="60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Wydatki majątkowe</w:t>
            </w:r>
          </w:p>
        </w:tc>
        <w:tc>
          <w:tcPr>
            <w:tcW w:w="426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both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327" w:type="dxa"/>
          </w:tcPr>
          <w:p w:rsidR="00096A3B" w:rsidRPr="00EE01E9" w:rsidRDefault="00096A3B" w:rsidP="00F91B5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7 310 854,43</w:t>
            </w:r>
          </w:p>
        </w:tc>
        <w:tc>
          <w:tcPr>
            <w:tcW w:w="1418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1 673 575,12</w:t>
            </w:r>
          </w:p>
        </w:tc>
        <w:tc>
          <w:tcPr>
            <w:tcW w:w="1275" w:type="dxa"/>
          </w:tcPr>
          <w:p w:rsidR="00096A3B" w:rsidRPr="00EE01E9" w:rsidRDefault="00096A3B" w:rsidP="003E17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6 742 948,31</w:t>
            </w:r>
          </w:p>
        </w:tc>
        <w:tc>
          <w:tcPr>
            <w:tcW w:w="1418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1 998 182,56</w:t>
            </w:r>
          </w:p>
        </w:tc>
        <w:tc>
          <w:tcPr>
            <w:tcW w:w="1444" w:type="dxa"/>
          </w:tcPr>
          <w:p w:rsidR="00096A3B" w:rsidRPr="00EE01E9" w:rsidRDefault="00096A3B" w:rsidP="00EE01E9">
            <w:pPr>
              <w:spacing w:after="0" w:line="240" w:lineRule="auto"/>
              <w:ind w:right="-286"/>
              <w:jc w:val="center"/>
              <w:rPr>
                <w:b/>
                <w:sz w:val="16"/>
                <w:szCs w:val="16"/>
              </w:rPr>
            </w:pPr>
            <w:r w:rsidRPr="00EE01E9">
              <w:rPr>
                <w:b/>
                <w:sz w:val="16"/>
                <w:szCs w:val="16"/>
              </w:rPr>
              <w:t>5 143 273</w:t>
            </w:r>
          </w:p>
        </w:tc>
      </w:tr>
    </w:tbl>
    <w:p w:rsidR="00EE01E9" w:rsidRPr="002A4A20" w:rsidRDefault="003648C9" w:rsidP="003648C9">
      <w:pPr>
        <w:pStyle w:val="Akapitzlist"/>
        <w:numPr>
          <w:ilvl w:val="0"/>
          <w:numId w:val="1"/>
        </w:numPr>
        <w:tabs>
          <w:tab w:val="left" w:pos="709"/>
          <w:tab w:val="right" w:pos="9072"/>
        </w:tabs>
        <w:ind w:right="-286"/>
        <w:jc w:val="both"/>
        <w:rPr>
          <w:b/>
        </w:rPr>
      </w:pPr>
      <w:r w:rsidRPr="002A4A20">
        <w:rPr>
          <w:b/>
        </w:rPr>
        <w:lastRenderedPageBreak/>
        <w:t>Informacja o zawartych umowach i porozumieniach:</w:t>
      </w:r>
    </w:p>
    <w:p w:rsidR="003648C9" w:rsidRDefault="003648C9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>Um</w:t>
      </w:r>
      <w:r w:rsidR="00813F4C">
        <w:t>owa w sprawie partnerskiej współpracy z Województwem Mazowieckim o udzielenie dotacji na dofinansowanie realizacji projektu „Przyspieszenie wzrostu konkurencyjności województwa mazowieckiego, przez budowanie społeczeństwa informacyjnego i gospodarki opartej na wiedzy poprzez stworzenie zintegrowanych baz wiedzy o Mazowszu” współfinansowanego z EFRR</w:t>
      </w:r>
    </w:p>
    <w:p w:rsidR="00813F4C" w:rsidRDefault="00813F4C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>Umowa w sprawie partnerskiej współpracy przy realizacji projektu :Rozwój elektronicznej administracji w samorządach województwa mazowieckiego wspomagającej niwelowanie dwudzielności potencjału województwa”</w:t>
      </w:r>
    </w:p>
    <w:p w:rsidR="00813F4C" w:rsidRDefault="00813F4C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 xml:space="preserve">Umowa o partnerstwie zawarta z Powiatem Radomskim w celu realizacji projektu „ Budowa drogi gminnej – ul. Zakładowej w miejscowości Maków” </w:t>
      </w:r>
    </w:p>
    <w:p w:rsidR="00CF5069" w:rsidRDefault="00CF5069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>Umowa o dofinansowanie projektu „Przeciwdziałanie wykluczeniu cyfrowemu w gminie”</w:t>
      </w:r>
    </w:p>
    <w:p w:rsidR="00CF5069" w:rsidRDefault="00CF5069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>Umowa z Województwem Mazowieckim na realizację projektu w ramach POKL „Moja Przyszłość” – wyrównywanie szans edukacyjnych poprzez dodatkowe zajęcia rozwijające kompetencje kluczowe – projekty realizowane przez szkoły podstawowe na terenie Gminy Skaryszew</w:t>
      </w:r>
    </w:p>
    <w:p w:rsidR="00CF5069" w:rsidRDefault="00CF5069" w:rsidP="003648C9">
      <w:pPr>
        <w:pStyle w:val="Akapitzlist"/>
        <w:numPr>
          <w:ilvl w:val="0"/>
          <w:numId w:val="2"/>
        </w:numPr>
        <w:tabs>
          <w:tab w:val="left" w:pos="709"/>
          <w:tab w:val="right" w:pos="9072"/>
        </w:tabs>
        <w:ind w:right="-286"/>
        <w:jc w:val="both"/>
      </w:pPr>
      <w:r>
        <w:t>Umowa z Fundacją „Europejski Fundusz Rozwoju Wsi Polskiej” na dofinansowanie nauki języka angielskiego dla uczniów szkół na terenie Gminy Skaryszew.</w:t>
      </w:r>
    </w:p>
    <w:p w:rsidR="00CF5069" w:rsidRPr="002A4A20" w:rsidRDefault="00CF5069" w:rsidP="00CF5069">
      <w:pPr>
        <w:pStyle w:val="Akapitzlist"/>
        <w:numPr>
          <w:ilvl w:val="0"/>
          <w:numId w:val="1"/>
        </w:numPr>
        <w:tabs>
          <w:tab w:val="left" w:pos="709"/>
          <w:tab w:val="right" w:pos="9072"/>
        </w:tabs>
        <w:ind w:right="-286"/>
        <w:jc w:val="both"/>
        <w:rPr>
          <w:b/>
        </w:rPr>
      </w:pPr>
      <w:r w:rsidRPr="002A4A20">
        <w:rPr>
          <w:b/>
        </w:rPr>
        <w:t>Obowiązujące uchwały Rady Miejskiej mające wpływ na budżet:</w:t>
      </w:r>
    </w:p>
    <w:p w:rsidR="00CF5069" w:rsidRDefault="00310333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XXXIV/347/201 z 28.02.2014 w sprawie podwyższenia kryterium dochodowego uprawniającego do przyznania nieodpłatnie pomocy w zakresie dożywiania w formie świadczenia pieniężnego na zakup posiłku lub żywności dla osób objętych wieloletnim programem wspierania finansowego gmin w zakresie dożywiania „Pomoc państwa w zakresie dożywiania” na lata 2014-2020,</w:t>
      </w:r>
    </w:p>
    <w:p w:rsidR="00310333" w:rsidRDefault="00310333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XXXIV/345/2014 z 28.02.2014 w sprawie zmiany uchwały dotyczącej ustalenia szczegółowych warunków przyznawania odpłatności za usługi opiekuńcze i specjalistyczne usługi opiekuńcze świadczone w ramach zadań własnych gminy oraz szczegółowych warunków częściowego lub całkowitego zwolnienia od opłat i trybu pobierania tych opłat,</w:t>
      </w:r>
    </w:p>
    <w:p w:rsidR="00310333" w:rsidRDefault="00310333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XXXIII/332/2014 z 30.12.2013 w sprawie ustalenia stawek kalkulacyjnych kwoty dotacji przedmiotowych Zakładu Gospodarki Komunalnej i Mieszkaniowej w Skaryszewie na rok 2014,</w:t>
      </w:r>
    </w:p>
    <w:p w:rsidR="00310333" w:rsidRDefault="00540054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XXXI/308/201 z 30.10.2013 w sprawie maksymalnej kwoty dofinansowania kształcenia nauczycieli oraz ustalenia form kształcenia, na które dofinansowanie będzie przyznawane dla nauczycieli placówek oświatowych prowadzonych przez Miasto i Gminę Skaryszew w 2014r.,</w:t>
      </w:r>
    </w:p>
    <w:p w:rsidR="00540054" w:rsidRDefault="00540054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XXXI/305/2014 z 30.10.2014 w sprawie powołania inkasentów opłaty za gospodarowanie odpadami komunalnymi oraz określenia wysokości wynagrodzenia za inkaso i ustalenia innych niż określone w ordynacji podatkowej terminów wpłat opłaty za gospodarowanie odpadami komunalnymi dla inkasentów,</w:t>
      </w:r>
    </w:p>
    <w:p w:rsidR="00540054" w:rsidRDefault="00B52AC2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XXVIII/277/2013 z 24.05.2013 w sprawie regulaminu określającego kryteria i tryb przyznawania nagród dla nauczycieli za ich osiągnięcia w zakresie pracy dydaktycznej, wychowawczej i opiekuńczej ze środków w budżecie organu prowadzącego szkoły i przedszkola,</w:t>
      </w:r>
    </w:p>
    <w:p w:rsidR="00B52AC2" w:rsidRDefault="00B52AC2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XXVI/262/2013 z 22.03.2013 w sprawie ustalenia wysokości diet dla sołtysów i przewodniczących rad osiedlowych,</w:t>
      </w:r>
    </w:p>
    <w:p w:rsidR="00B52AC2" w:rsidRDefault="00B52AC2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lastRenderedPageBreak/>
        <w:t>XXI/2012/2012 z 30.10.2012 w sprawie zasad przyznawania i wysokości diet dla radnych Rady Miejskiej w Skaryszewie</w:t>
      </w:r>
    </w:p>
    <w:p w:rsidR="00B52AC2" w:rsidRDefault="00B52AC2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XXI/211/2012 z 30.10.2012 w sprawie trybu postępowania o udzielenie dotacji z budżetu Gminy Skaryszew podmiotom nie zaliczanym do sektora finansów publicznych i nie</w:t>
      </w:r>
      <w:r w:rsidR="00484E01">
        <w:t xml:space="preserve"> działającym w celu osiągnięcia zysku na inne zadania niż określone w ustawie z dnia 24.04.2003r. o działalności pożytku publicznego i o wolontariacie, sposobu jej rozliczenia oraz sposobu kontroli wykonywania zleconego zadania.</w:t>
      </w:r>
    </w:p>
    <w:p w:rsidR="00484E01" w:rsidRDefault="00484E01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XX/206/2012 z 26.09.2012 w sprawie ustalenia zasad korzystania ze stołówki szkolno-przedszkolnej działającej w Samorządowym Przedszkolu w Skaryszewie,</w:t>
      </w:r>
    </w:p>
    <w:p w:rsidR="00484E01" w:rsidRDefault="00477930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XIX/200/2012 z 26.07.2012 w sprawie zmiany regulaminu udzielania pomocy materialnej o charakterze socjalnym dla uczniów zamieszkałych na terenie Gminy Skaryszew (…),</w:t>
      </w:r>
    </w:p>
    <w:p w:rsidR="00477930" w:rsidRDefault="00477930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XVI/140/2012 z 30.03.2012 w sprawie określenia szczegółowych zasad, sposobu i trybu umarzania, odraczania lub rozkładania na raty należności pieniężnych mających charakter cywilnoprawny, przypadających Gminie Skaryszew lub jej jednostkom organizacyjnym,</w:t>
      </w:r>
    </w:p>
    <w:p w:rsidR="00477930" w:rsidRDefault="00477930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XIV/118/2011 z 30.12.2011 w sprawie stypendiów sportowych dla zawodników osiągających wysokie wyniki sportowe we współzawodnictwie międzynarodowym lub krajowym oraz w sprawie przyznawania nagród sportowcom, trenerom i działaczom sportowym,</w:t>
      </w:r>
    </w:p>
    <w:p w:rsidR="00477930" w:rsidRDefault="00E21DC4" w:rsidP="00CF5069">
      <w:pPr>
        <w:pStyle w:val="Akapitzlist"/>
        <w:numPr>
          <w:ilvl w:val="0"/>
          <w:numId w:val="3"/>
        </w:numPr>
        <w:tabs>
          <w:tab w:val="left" w:pos="709"/>
          <w:tab w:val="right" w:pos="9072"/>
        </w:tabs>
        <w:ind w:right="-286"/>
        <w:jc w:val="both"/>
      </w:pPr>
      <w:r>
        <w:t>Coroczne uchwały w sprawie obniżenia średniej ceny skupu żyta dla określenia podatku rolnego, w sprawie ustalenia stawek podatku od środków transportowych, od nieruchomości, opłaty targowej oraz stawek za dostarczanie wody, wywóz nieczystości płynnych, itp.</w:t>
      </w:r>
    </w:p>
    <w:p w:rsidR="00EE01E9" w:rsidRPr="00EE01E9" w:rsidRDefault="00EE01E9" w:rsidP="00EE01E9">
      <w:pPr>
        <w:spacing w:after="0" w:line="240" w:lineRule="auto"/>
        <w:ind w:right="-286"/>
      </w:pPr>
    </w:p>
    <w:p w:rsidR="00523BCD" w:rsidRDefault="00523BCD" w:rsidP="00523BCD">
      <w:bookmarkStart w:id="0" w:name="_GoBack"/>
      <w:bookmarkEnd w:id="0"/>
    </w:p>
    <w:sectPr w:rsidR="0052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4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E2B"/>
    <w:multiLevelType w:val="hybridMultilevel"/>
    <w:tmpl w:val="C1C2C9DC"/>
    <w:lvl w:ilvl="0" w:tplc="84D6A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907E1"/>
    <w:multiLevelType w:val="hybridMultilevel"/>
    <w:tmpl w:val="5D06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361A"/>
    <w:multiLevelType w:val="hybridMultilevel"/>
    <w:tmpl w:val="5BC29CBC"/>
    <w:lvl w:ilvl="0" w:tplc="391AF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8"/>
    <w:rsid w:val="000454F2"/>
    <w:rsid w:val="00096A3B"/>
    <w:rsid w:val="00251D9D"/>
    <w:rsid w:val="002A4A20"/>
    <w:rsid w:val="00310333"/>
    <w:rsid w:val="003648C9"/>
    <w:rsid w:val="003C4A17"/>
    <w:rsid w:val="00472989"/>
    <w:rsid w:val="00477930"/>
    <w:rsid w:val="00484E01"/>
    <w:rsid w:val="00523BCD"/>
    <w:rsid w:val="00540054"/>
    <w:rsid w:val="005E79C8"/>
    <w:rsid w:val="00607DF9"/>
    <w:rsid w:val="00813F4C"/>
    <w:rsid w:val="0094166A"/>
    <w:rsid w:val="00B52AC2"/>
    <w:rsid w:val="00CC2748"/>
    <w:rsid w:val="00CF5069"/>
    <w:rsid w:val="00D811DF"/>
    <w:rsid w:val="00DE75AE"/>
    <w:rsid w:val="00E16420"/>
    <w:rsid w:val="00E21DC4"/>
    <w:rsid w:val="00EE01E9"/>
    <w:rsid w:val="00F567B0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BCD"/>
    <w:pPr>
      <w:ind w:left="720"/>
      <w:contextualSpacing/>
    </w:pPr>
  </w:style>
  <w:style w:type="paragraph" w:customStyle="1" w:styleId="Akapitzlist1">
    <w:name w:val="Akapit z listą1"/>
    <w:rsid w:val="00EE01E9"/>
    <w:pPr>
      <w:widowControl w:val="0"/>
      <w:suppressAutoHyphens/>
      <w:ind w:left="720"/>
    </w:pPr>
    <w:rPr>
      <w:rFonts w:ascii="Calibri" w:eastAsia="Arial Unicode MS" w:hAnsi="Calibri" w:cs="font147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BCD"/>
    <w:pPr>
      <w:ind w:left="720"/>
      <w:contextualSpacing/>
    </w:pPr>
  </w:style>
  <w:style w:type="paragraph" w:customStyle="1" w:styleId="Akapitzlist1">
    <w:name w:val="Akapit z listą1"/>
    <w:rsid w:val="00EE01E9"/>
    <w:pPr>
      <w:widowControl w:val="0"/>
      <w:suppressAutoHyphens/>
      <w:ind w:left="720"/>
    </w:pPr>
    <w:rPr>
      <w:rFonts w:ascii="Calibri" w:eastAsia="Arial Unicode MS" w:hAnsi="Calibri" w:cs="font14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31B9-25E0-4272-9319-8E37B9F6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Skaryszewie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Skaryszewie</dc:creator>
  <cp:keywords/>
  <dc:description/>
  <cp:lastModifiedBy>UMiG w Skaryszewie</cp:lastModifiedBy>
  <cp:revision>12</cp:revision>
  <cp:lastPrinted>2014-11-19T12:43:00Z</cp:lastPrinted>
  <dcterms:created xsi:type="dcterms:W3CDTF">2014-11-19T11:19:00Z</dcterms:created>
  <dcterms:modified xsi:type="dcterms:W3CDTF">2014-11-20T11:35:00Z</dcterms:modified>
</cp:coreProperties>
</file>