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C7" w:rsidRPr="00CE637C" w:rsidRDefault="008441C7" w:rsidP="008441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25</w:t>
      </w:r>
      <w:r w:rsidRPr="00CE637C">
        <w:rPr>
          <w:rFonts w:ascii="Times New Roman" w:hAnsi="Times New Roman" w:cs="Times New Roman"/>
          <w:b/>
          <w:sz w:val="24"/>
          <w:szCs w:val="24"/>
        </w:rPr>
        <w:t>/2016</w:t>
      </w:r>
    </w:p>
    <w:p w:rsidR="008441C7" w:rsidRPr="00CE637C" w:rsidRDefault="008441C7" w:rsidP="008441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7C">
        <w:rPr>
          <w:rFonts w:ascii="Times New Roman" w:hAnsi="Times New Roman" w:cs="Times New Roman"/>
          <w:b/>
          <w:sz w:val="24"/>
          <w:szCs w:val="24"/>
        </w:rPr>
        <w:t>z posiedzenia Komisji Rozwoju Gospodarczeg</w:t>
      </w:r>
      <w:r>
        <w:rPr>
          <w:rFonts w:ascii="Times New Roman" w:hAnsi="Times New Roman" w:cs="Times New Roman"/>
          <w:b/>
          <w:sz w:val="24"/>
          <w:szCs w:val="24"/>
        </w:rPr>
        <w:t>o i Finansów – odbytej w dniu 25</w:t>
      </w:r>
      <w:r w:rsidRPr="00CE63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sierpnia</w:t>
      </w:r>
      <w:r w:rsidRPr="00CE637C">
        <w:rPr>
          <w:rFonts w:ascii="Times New Roman" w:hAnsi="Times New Roman" w:cs="Times New Roman"/>
          <w:b/>
          <w:sz w:val="24"/>
          <w:szCs w:val="24"/>
        </w:rPr>
        <w:t xml:space="preserve"> 2016 roku.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Obecni na posiedzeniu członkowie komisji oraz goście zaproszeni wg załączonej listy obecności.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Posiedzeniu przewodniczył Pan Waldemar Łukasiewicz – Przewodniczący Komisji.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Porządek obrad: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Otwarcie posiedzenia Komisji.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Przyjęcie porządku obrad.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Przyjęcie protokołu z poprzedniego posiedzenia komisji.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Przygotowanie materiałów na sesję Rady Miejskiej.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Sprawdzenie stanu przygotowań szkół do nowego roku szkolnego pod kątem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przeprowadzonych remontów i konserwacji. Wyjazdowe posiedzenie do wszystkich szkół.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Sprawy bieżące Rady i Komisji.</w:t>
      </w:r>
    </w:p>
    <w:p w:rsidR="008441C7" w:rsidRDefault="008441C7" w:rsidP="00844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Sprawy różne.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Ad.1. </w:t>
      </w:r>
    </w:p>
    <w:p w:rsidR="008441C7" w:rsidRDefault="008441C7" w:rsidP="00844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W. Łukasiewicz – Przewodniczący Komisji – dokonał otwarcia 25 posiedzenia Komisji, stwierdzając quorum, przy którym Komisja może obradować i podejmować uchwały.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 OBRAD: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przedstawił porządek obrad posiedzenia Komisji. </w:t>
      </w:r>
      <w:r>
        <w:rPr>
          <w:rFonts w:ascii="Times New Roman" w:hAnsi="Times New Roman" w:cs="Times New Roman"/>
          <w:sz w:val="24"/>
          <w:szCs w:val="24"/>
        </w:rPr>
        <w:t>Zapytuje, czy są uwagi do porządku obrad. Proponuje zmienić formę punktu 5. porządku obrad na: Sprawdzenie stanu przygotowań szkół do nowego roku szkolnego pod kątem przeprowadzonych remontów i konserwacji poprzez złożenie sprawozdania w formie ustnej przez inspektora Zespołu Obsługi Oświaty w Skaryszewie. Poddaje pod głosowanie zaproponowaną zmianę do porządku obrad: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- 5, p – 0, w - 0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zmianę do porządku obrad jednogłośnie w głosowaniu jawnym.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poddał pod głosowanie porządek obrad po zmianie.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- 5, p – 0, w - 0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porządek obrad po zmianie jednogłośnie w głosowaniu jawnym.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75">
        <w:rPr>
          <w:rFonts w:ascii="Times New Roman" w:hAnsi="Times New Roman" w:cs="Times New Roman"/>
          <w:sz w:val="24"/>
          <w:szCs w:val="24"/>
        </w:rPr>
        <w:t xml:space="preserve">Ad.3. </w:t>
      </w: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odczytał protokół Nr 24/2016 z poprzedniego posiedzenia Komisji odbytego w dniu 29 lipca 2016r.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powtórnie wnosi o wyjaśnienie przyczyn niewyjaśnionego braku wpływów opłaty targowej za miesiąc styczeń 2016 r. i prosi o niezwłoczne wyjaśnienie w trybie pilnym w formie pisemnej.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powyższy wniosek.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powyższy wniosek jednogłośnie w głosowaniu jawnym.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ponownie zwraca się z prośbą o dokonanie wyjaśnień procedowania projektu uchwały dot. opłaty targowej i aspektów prawnych z tego wynikających oraz wnioskuje o przedstawienie wyjaśnień w trybie pilnym w formie pisemnej.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p. Przew. Komisji – poddał pod głosowanie powyższy wniosek.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powyższy wniosek jednogłośnie w głosowaniu jawnym.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brak odpowiedzi także na inne wnioski z poprzedniego posiedzenia komisji p. Przewodniczący Komisji poddał pod reasumpcję dwa powyższe wnioski. 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 – 5, p – 0, w – 0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Dokonano reasumpcji dwóch powyżej przyjętych wniosków jednogłośnie w głosowaniu jawnym.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75">
        <w:rPr>
          <w:rFonts w:ascii="Times New Roman" w:hAnsi="Times New Roman" w:cs="Times New Roman"/>
          <w:sz w:val="24"/>
          <w:szCs w:val="24"/>
        </w:rPr>
        <w:t xml:space="preserve">Komisja podczas przyjęcia protokołu z poprzedniego posiedzenia Komisji odbytego w dniu 29 lipca 2016r. analizując punkt. 6. posiedzenia komisji stwierdza brak odpowiedzi na skierowane przez Komisję wnioski (odnośnie sprawozdania dotyczącego wpływów z targowiska) i oczekuje odpowiedzi na skierowane wnioski i wyjaśnień zaistniałej sytuacji przez p. Burmistrza. 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75">
        <w:rPr>
          <w:rFonts w:ascii="Times New Roman" w:hAnsi="Times New Roman" w:cs="Times New Roman"/>
          <w:sz w:val="24"/>
          <w:szCs w:val="24"/>
        </w:rPr>
        <w:t>Komisja przyjęła powyższy wniosek jednogłośnie  w głosowaniu jawnym.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odczytał wyjaśnienia do materiałów w sprawie inwestycji zaplanowanych do realizacji w roku bieżącym oraz w WPF-</w:t>
      </w:r>
      <w:proofErr w:type="spellStart"/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przygotowanych na komisję 29 lipca 2016r. zgodnie z uwagami i wnioskami Komisji zawartymi w protokole z posiedzenia Komisji z dnia 29 lipca 2016r.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75">
        <w:rPr>
          <w:rFonts w:ascii="Times New Roman" w:hAnsi="Times New Roman" w:cs="Times New Roman"/>
          <w:sz w:val="24"/>
          <w:szCs w:val="24"/>
        </w:rPr>
        <w:t xml:space="preserve">Wniosek Komisji dotyczący przyjęcia dalszej części protokołu: Komisja wnioskuje w dalszym ciągu o wyjaśnienie, czy kwota 362 168,50 zł na przebudowę dróg w miejscowości Kłonowiec Koracz jest kwotą zagwarantowaną w formie dofinansowania i kiedy nastąpi podpisanie umowy o dofinansowanie.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  (jedna osoba nieobecna podczas głosowania)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75">
        <w:rPr>
          <w:rFonts w:ascii="Times New Roman" w:hAnsi="Times New Roman" w:cs="Times New Roman"/>
          <w:sz w:val="24"/>
          <w:szCs w:val="24"/>
        </w:rPr>
        <w:t xml:space="preserve">Komisja przyjęła powyższy wniosek jednogłośnie w głosowaniu jawnym.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poddał pod głosowanie protokół Nr 24/2016 z poprzedniego posiedzenia Komisji odbytego w dniu 29 lipca 2016r.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75">
        <w:rPr>
          <w:rFonts w:ascii="Times New Roman" w:hAnsi="Times New Roman" w:cs="Times New Roman"/>
          <w:sz w:val="24"/>
          <w:szCs w:val="24"/>
        </w:rPr>
        <w:t xml:space="preserve">Komisja przyjęła </w:t>
      </w:r>
      <w:r>
        <w:rPr>
          <w:rFonts w:ascii="Times New Roman" w:hAnsi="Times New Roman" w:cs="Times New Roman"/>
          <w:sz w:val="24"/>
          <w:szCs w:val="24"/>
        </w:rPr>
        <w:t xml:space="preserve">protokół </w:t>
      </w:r>
      <w:r w:rsidRPr="00034F75">
        <w:rPr>
          <w:rFonts w:ascii="Times New Roman" w:hAnsi="Times New Roman" w:cs="Times New Roman"/>
          <w:sz w:val="24"/>
          <w:szCs w:val="24"/>
        </w:rPr>
        <w:t xml:space="preserve"> jednogłośnie  w głosowaniu jawnym.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75">
        <w:rPr>
          <w:rFonts w:ascii="Times New Roman" w:hAnsi="Times New Roman" w:cs="Times New Roman"/>
          <w:sz w:val="24"/>
          <w:szCs w:val="24"/>
        </w:rPr>
        <w:t>Ad. 4. Przygotowanie materiałów na sesję Rady Miejskiej.</w:t>
      </w:r>
    </w:p>
    <w:p w:rsidR="008441C7" w:rsidRPr="007F2EDF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ED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projekt uchwały w sprawie zmiany Wieloletniej Prognozy Finansowej Gminy na lata 2016-2024 – omówiła p. Skarbnik, informując, że  </w:t>
      </w:r>
    </w:p>
    <w:p w:rsidR="008441C7" w:rsidRPr="007F2EDF" w:rsidRDefault="008441C7" w:rsidP="00844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EDF">
        <w:rPr>
          <w:rFonts w:ascii="Times New Roman" w:hAnsi="Times New Roman" w:cs="Times New Roman"/>
          <w:b/>
          <w:bCs/>
          <w:sz w:val="24"/>
          <w:szCs w:val="24"/>
        </w:rPr>
        <w:t>W załączniku nr 1</w:t>
      </w:r>
      <w:r w:rsidRPr="007F2E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41C7" w:rsidRPr="007F2EDF" w:rsidRDefault="008441C7" w:rsidP="00844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EDF">
        <w:rPr>
          <w:rFonts w:ascii="Times New Roman" w:hAnsi="Times New Roman" w:cs="Times New Roman"/>
          <w:sz w:val="24"/>
          <w:szCs w:val="24"/>
        </w:rPr>
        <w:t>W 2016 roku uaktualniono plany dochodów i wydatków wprowadzone zarządzeniami od dnia 29 kwietnia 2016r. oraz uchwałą z dnia 30.08.2016r.</w:t>
      </w:r>
    </w:p>
    <w:p w:rsidR="008441C7" w:rsidRPr="007F2EDF" w:rsidRDefault="008441C7" w:rsidP="00844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EDF">
        <w:rPr>
          <w:rFonts w:ascii="Times New Roman" w:hAnsi="Times New Roman" w:cs="Times New Roman"/>
          <w:sz w:val="24"/>
          <w:szCs w:val="24"/>
        </w:rPr>
        <w:t>W stosunku do poprzedniej uchwały planowane dochody ogółem zwiększyły się o kwotę 1.285.302 zł w tym bieżące o kwotę 732 067 zł (w tym z tytułu dotacji i środków na cele bieżące o kwotę 603 102 zł). Decyzjami MF zwiększona została subwencja oświatowa łącznie o kwotę  32 923 zł.</w:t>
      </w:r>
    </w:p>
    <w:p w:rsidR="008441C7" w:rsidRPr="007F2EDF" w:rsidRDefault="008441C7" w:rsidP="00844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EDF">
        <w:rPr>
          <w:rFonts w:ascii="Times New Roman" w:hAnsi="Times New Roman" w:cs="Times New Roman"/>
          <w:sz w:val="24"/>
          <w:szCs w:val="24"/>
        </w:rPr>
        <w:t>Plan dochodów majątkowych zmienił się o kwotę 553 235 zł .</w:t>
      </w:r>
    </w:p>
    <w:p w:rsidR="008441C7" w:rsidRPr="007F2EDF" w:rsidRDefault="008441C7" w:rsidP="00844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EDF">
        <w:rPr>
          <w:rFonts w:ascii="Times New Roman" w:hAnsi="Times New Roman" w:cs="Times New Roman"/>
          <w:sz w:val="24"/>
          <w:szCs w:val="24"/>
        </w:rPr>
        <w:t>Plan dochodów ogółem  po zmianach wynosi 52 411 520 zł w tym plan dochodów bieżących wynosi 51 709 540 zł, plan dochodów majątkowych wynosi 701 980 zł.</w:t>
      </w:r>
    </w:p>
    <w:p w:rsidR="008441C7" w:rsidRPr="007F2EDF" w:rsidRDefault="008441C7" w:rsidP="00844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EDF">
        <w:rPr>
          <w:rFonts w:ascii="Times New Roman" w:hAnsi="Times New Roman" w:cs="Times New Roman"/>
          <w:sz w:val="24"/>
          <w:szCs w:val="24"/>
        </w:rPr>
        <w:lastRenderedPageBreak/>
        <w:t xml:space="preserve">Planowane wydatki zwiększyły się o kwotę 1 285 302 zł w tym bieżące o kwotę 1 101 867 zł, majątkowe o kwotę 183 435 zł. </w:t>
      </w:r>
    </w:p>
    <w:p w:rsidR="008441C7" w:rsidRPr="007F2EDF" w:rsidRDefault="008441C7" w:rsidP="00844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EDF">
        <w:rPr>
          <w:rFonts w:ascii="Times New Roman" w:hAnsi="Times New Roman" w:cs="Times New Roman"/>
          <w:sz w:val="24"/>
          <w:szCs w:val="24"/>
        </w:rPr>
        <w:t>Plan wydatków po zmianach wynosi 54 271 520 zł w tym wydatki bieżące 49 270 080 zł, wydatki majątkowe 5 001 440 zł.</w:t>
      </w:r>
    </w:p>
    <w:p w:rsidR="008441C7" w:rsidRPr="007F2EDF" w:rsidRDefault="008441C7" w:rsidP="00844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EDF">
        <w:rPr>
          <w:rFonts w:ascii="Times New Roman" w:hAnsi="Times New Roman" w:cs="Times New Roman"/>
          <w:b/>
          <w:sz w:val="24"/>
          <w:szCs w:val="24"/>
        </w:rPr>
        <w:t>Wynik budżetu nie zmienił się.</w:t>
      </w:r>
    </w:p>
    <w:p w:rsidR="008441C7" w:rsidRPr="007F2EDF" w:rsidRDefault="008441C7" w:rsidP="00844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EDF">
        <w:rPr>
          <w:rFonts w:ascii="Times New Roman" w:hAnsi="Times New Roman" w:cs="Times New Roman"/>
          <w:sz w:val="24"/>
          <w:szCs w:val="24"/>
        </w:rPr>
        <w:t xml:space="preserve">W części informacyjnej dotyczącej wybranych rodzajów wydatków dokonano zmian w roku 2016  w kolumnach 11.1 do 11.6 dostosowując dane do danych w uchwale. </w:t>
      </w:r>
    </w:p>
    <w:p w:rsidR="008441C7" w:rsidRPr="007F2EDF" w:rsidRDefault="008441C7" w:rsidP="00844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EDF">
        <w:rPr>
          <w:rFonts w:ascii="Times New Roman" w:hAnsi="Times New Roman" w:cs="Times New Roman"/>
          <w:sz w:val="24"/>
          <w:szCs w:val="24"/>
        </w:rPr>
        <w:t xml:space="preserve">W kolumnach 12.1 do 12.7.1 dotyczących finansowania programów, projektów lub zadań realizowanych z udziałem środków unijnych w 2016 roku dostosowano dane do danych zawartych w uchwale. </w:t>
      </w:r>
    </w:p>
    <w:p w:rsidR="008441C7" w:rsidRPr="007F2EDF" w:rsidRDefault="008441C7" w:rsidP="00844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EDF">
        <w:rPr>
          <w:rFonts w:ascii="Times New Roman" w:hAnsi="Times New Roman" w:cs="Times New Roman"/>
          <w:sz w:val="24"/>
          <w:szCs w:val="24"/>
        </w:rPr>
        <w:t>W roku 2017 i 2018 w kolumnach 12.4 do 12.5.1 dokonano zmian wynikających z podpisanego aneksu na projekt realizowany przez Województwo Mazowieckie ASI.</w:t>
      </w:r>
    </w:p>
    <w:p w:rsidR="008441C7" w:rsidRPr="007F2EDF" w:rsidRDefault="008441C7" w:rsidP="00844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441C7" w:rsidRPr="007F2EDF" w:rsidRDefault="008441C7" w:rsidP="00844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EDF">
        <w:rPr>
          <w:rFonts w:ascii="Times New Roman" w:hAnsi="Times New Roman" w:cs="Times New Roman"/>
          <w:b/>
          <w:bCs/>
          <w:sz w:val="24"/>
          <w:szCs w:val="24"/>
        </w:rPr>
        <w:t>W załączniku nr 2</w:t>
      </w:r>
      <w:r w:rsidRPr="007F2EDF">
        <w:rPr>
          <w:rFonts w:ascii="Times New Roman" w:hAnsi="Times New Roman" w:cs="Times New Roman"/>
          <w:sz w:val="24"/>
          <w:szCs w:val="24"/>
        </w:rPr>
        <w:t xml:space="preserve"> „Wykaz przedsięwzięć do WPF”  dokonano  zmian w części 1.1. w zadaniu dotyczących finansowania programów, projektów lub zadań realizowanych z udziałem środków unijnych – w wyniku aneksu na projekt realizowany przez Województwo Mazowieckie ASI – w roku 2016 zmniejszono planowane wydatki o kwotę 1 721 zł, w roku 2017 zwiększono planowane wydatki o kwotę 1 933 zł, w 2018 roku zmniejszono wydatki o kwotę 214 zł. </w:t>
      </w:r>
    </w:p>
    <w:p w:rsidR="008441C7" w:rsidRPr="007F2EDF" w:rsidRDefault="008441C7" w:rsidP="00844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EDF">
        <w:rPr>
          <w:rFonts w:ascii="Times New Roman" w:hAnsi="Times New Roman" w:cs="Times New Roman"/>
          <w:sz w:val="24"/>
          <w:szCs w:val="24"/>
        </w:rPr>
        <w:t>W części 1.3 w zadaniu „budowa drogi w miejscowości Janów” zwiększono nakłady w 2016 roku o kwotę 46 800 zł, zwiększając jednocześnie limity wydatków o kwotę 60 zł (w roku 2015 nie wykonano wydatków ujętych w niewygasających wydatkach ze względu na wykonanie prac w miesiącu lipcu 2016; ).</w:t>
      </w:r>
    </w:p>
    <w:p w:rsidR="008441C7" w:rsidRPr="007F2EDF" w:rsidRDefault="008441C7" w:rsidP="00844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EDF">
        <w:rPr>
          <w:rFonts w:ascii="Times New Roman" w:hAnsi="Times New Roman" w:cs="Times New Roman"/>
          <w:sz w:val="24"/>
          <w:szCs w:val="24"/>
        </w:rPr>
        <w:t xml:space="preserve">W zadaniu „Budowa oświetlenia ulicznego w ulicach Słowackiego i Konopnickiej w Skaryszewie (przejście przez Skaryszew) zmniejszono planowane nakłady w 2016 roku o kwotę 24 650 zł ( w wyniku przetargu podpisano umowę na kwotę 55 350 zł). </w:t>
      </w:r>
    </w:p>
    <w:p w:rsidR="008441C7" w:rsidRPr="007F2EDF" w:rsidRDefault="008441C7" w:rsidP="008441C7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8441C7" w:rsidRPr="007F2EDF" w:rsidRDefault="008441C7" w:rsidP="008441C7">
      <w:pPr>
        <w:pStyle w:val="Tekstpodstawowy31"/>
        <w:spacing w:after="0" w:line="240" w:lineRule="auto"/>
        <w:ind w:right="0"/>
        <w:rPr>
          <w:rFonts w:ascii="Times New Roman" w:hAnsi="Times New Roman" w:cs="Times New Roman"/>
          <w:kern w:val="24"/>
          <w:sz w:val="24"/>
          <w:szCs w:val="24"/>
        </w:rPr>
      </w:pPr>
      <w:r w:rsidRPr="007F2EDF">
        <w:rPr>
          <w:rFonts w:ascii="Times New Roman" w:hAnsi="Times New Roman" w:cs="Times New Roman"/>
          <w:kern w:val="24"/>
          <w:sz w:val="24"/>
          <w:szCs w:val="24"/>
        </w:rPr>
        <w:t>Prognoza opiera się na danych dotyczących planowanego stanu zadłużenia na dzień 31.12.2016 r., które wynosić będzie 12 850 000 zł, i  stanowi  24,5%  planowanych dochodów ogółem.  Na powyższą kwotę składają się zobowiązania z tytułu wyemitowanych obligacji w wysokości 12 850 000 zł.</w:t>
      </w:r>
    </w:p>
    <w:p w:rsidR="008441C7" w:rsidRPr="00CF298B" w:rsidRDefault="008441C7" w:rsidP="008441C7">
      <w:pPr>
        <w:pStyle w:val="Tekstpodstawowy31"/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7F2EDF">
        <w:rPr>
          <w:rFonts w:ascii="Times New Roman" w:hAnsi="Times New Roman" w:cs="Times New Roman"/>
          <w:kern w:val="24"/>
          <w:sz w:val="24"/>
          <w:szCs w:val="24"/>
        </w:rPr>
        <w:t>Planowany ws</w:t>
      </w:r>
      <w:r w:rsidRPr="007F2EDF">
        <w:rPr>
          <w:rFonts w:ascii="Times New Roman" w:hAnsi="Times New Roman" w:cs="Times New Roman"/>
          <w:bCs/>
          <w:kern w:val="24"/>
          <w:sz w:val="24"/>
          <w:szCs w:val="24"/>
        </w:rPr>
        <w:t xml:space="preserve">kaźnik obciążenia budżetu roku 2016 spłatami zadłużenia zmniejszył się w porównaniu do poprzedniej uchwały o 0,14% i wynosi  5,51% przy maksymalnym dopuszczalnym wskaźniku wynoszącym 9,26% obliczony w oparciu o wykonanie 2013-2015r.  </w:t>
      </w:r>
      <w:r w:rsidRPr="007F2EDF">
        <w:rPr>
          <w:rFonts w:ascii="Times New Roman" w:hAnsi="Times New Roman" w:cs="Times New Roman"/>
          <w:sz w:val="24"/>
          <w:szCs w:val="24"/>
        </w:rPr>
        <w:t>Planowany w kolejnych latach objętych zadłużeniem obowiązujący od 2017 r. indywidualny wskaźnik zadłużenia  ustalony wg  art. 243 ustawy z dnia 27 sierpnia 2009r o finansach publicznych  przedstawia się następująco :</w:t>
      </w:r>
    </w:p>
    <w:p w:rsidR="008441C7" w:rsidRDefault="008441C7" w:rsidP="008441C7">
      <w:pPr>
        <w:tabs>
          <w:tab w:val="left" w:pos="142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956"/>
        <w:gridCol w:w="956"/>
        <w:gridCol w:w="1964"/>
        <w:gridCol w:w="8"/>
      </w:tblGrid>
      <w:tr w:rsidR="008441C7" w:rsidRPr="00696238" w:rsidTr="00163270">
        <w:trPr>
          <w:trHeight w:val="1038"/>
          <w:jc w:val="center"/>
        </w:trPr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  <w:t xml:space="preserve">    Lata objęte</w:t>
            </w:r>
          </w:p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  <w:t>zadłużeniem</w:t>
            </w:r>
          </w:p>
        </w:tc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</w:pPr>
          </w:p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  <w:t>J.m.</w:t>
            </w:r>
          </w:p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  <w:t>Prognozowany</w:t>
            </w:r>
          </w:p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  <w:t>indywidualny</w:t>
            </w:r>
          </w:p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  <w:t>wskaźnik</w:t>
            </w:r>
          </w:p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  <w:t xml:space="preserve"> spłaty </w:t>
            </w:r>
          </w:p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  <w:t xml:space="preserve">zadłużenia </w:t>
            </w:r>
          </w:p>
        </w:tc>
        <w:tc>
          <w:tcPr>
            <w:tcW w:w="1972" w:type="dxa"/>
            <w:gridSpan w:val="2"/>
          </w:tcPr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  <w:t xml:space="preserve">Dopuszczalny  maksymalny  </w:t>
            </w:r>
          </w:p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  <w:t xml:space="preserve">wskaźnik spłaty zadłużenia dla </w:t>
            </w:r>
          </w:p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  <w:t>Gminy wyliczony  wg art.243 obliczony w oparciu o wykonanie</w:t>
            </w:r>
          </w:p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  <w:t>z 3-ch poprzednich lat</w:t>
            </w:r>
          </w:p>
        </w:tc>
      </w:tr>
      <w:tr w:rsidR="008441C7" w:rsidRPr="00696238" w:rsidTr="00163270">
        <w:trPr>
          <w:gridAfter w:val="1"/>
          <w:wAfter w:w="8" w:type="dxa"/>
          <w:trHeight w:val="195"/>
          <w:jc w:val="center"/>
        </w:trPr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14"/>
                <w:szCs w:val="14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kern w:val="1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1964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4"/>
                <w:szCs w:val="14"/>
                <w:lang w:eastAsia="ar-SA"/>
              </w:rPr>
              <w:t>4</w:t>
            </w:r>
          </w:p>
        </w:tc>
      </w:tr>
      <w:tr w:rsidR="008441C7" w:rsidRPr="00696238" w:rsidTr="00163270">
        <w:trPr>
          <w:gridAfter w:val="1"/>
          <w:wAfter w:w="8" w:type="dxa"/>
          <w:trHeight w:val="170"/>
          <w:jc w:val="center"/>
        </w:trPr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  <w:t>4,18</w:t>
            </w:r>
          </w:p>
        </w:tc>
        <w:tc>
          <w:tcPr>
            <w:tcW w:w="1964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  <w:t>8,10</w:t>
            </w:r>
          </w:p>
        </w:tc>
      </w:tr>
      <w:tr w:rsidR="008441C7" w:rsidRPr="00696238" w:rsidTr="00163270">
        <w:trPr>
          <w:gridAfter w:val="1"/>
          <w:wAfter w:w="8" w:type="dxa"/>
          <w:trHeight w:val="161"/>
          <w:jc w:val="center"/>
        </w:trPr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  <w:t>4,23</w:t>
            </w:r>
          </w:p>
        </w:tc>
        <w:tc>
          <w:tcPr>
            <w:tcW w:w="1964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  <w:t>8,24</w:t>
            </w:r>
          </w:p>
        </w:tc>
      </w:tr>
      <w:tr w:rsidR="008441C7" w:rsidRPr="00696238" w:rsidTr="00163270">
        <w:trPr>
          <w:gridAfter w:val="1"/>
          <w:wAfter w:w="8" w:type="dxa"/>
          <w:trHeight w:val="170"/>
          <w:jc w:val="center"/>
        </w:trPr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  <w:t>4,04</w:t>
            </w:r>
          </w:p>
        </w:tc>
        <w:tc>
          <w:tcPr>
            <w:tcW w:w="1964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  <w:t>8,36</w:t>
            </w:r>
          </w:p>
        </w:tc>
      </w:tr>
      <w:tr w:rsidR="008441C7" w:rsidRPr="00696238" w:rsidTr="00163270">
        <w:trPr>
          <w:gridAfter w:val="1"/>
          <w:wAfter w:w="8" w:type="dxa"/>
          <w:trHeight w:val="170"/>
          <w:jc w:val="center"/>
        </w:trPr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  <w:t>2,81</w:t>
            </w:r>
          </w:p>
        </w:tc>
        <w:tc>
          <w:tcPr>
            <w:tcW w:w="1964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  <w:t>10,23</w:t>
            </w:r>
          </w:p>
        </w:tc>
      </w:tr>
      <w:tr w:rsidR="008441C7" w:rsidRPr="00696238" w:rsidTr="00163270">
        <w:trPr>
          <w:gridAfter w:val="1"/>
          <w:wAfter w:w="8" w:type="dxa"/>
          <w:trHeight w:val="170"/>
          <w:jc w:val="center"/>
        </w:trPr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  <w:t>3,08</w:t>
            </w:r>
          </w:p>
        </w:tc>
        <w:tc>
          <w:tcPr>
            <w:tcW w:w="1964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  <w:t>10,29</w:t>
            </w:r>
          </w:p>
        </w:tc>
      </w:tr>
      <w:tr w:rsidR="008441C7" w:rsidRPr="00696238" w:rsidTr="00163270">
        <w:trPr>
          <w:gridAfter w:val="1"/>
          <w:wAfter w:w="8" w:type="dxa"/>
          <w:trHeight w:val="161"/>
          <w:jc w:val="center"/>
        </w:trPr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  <w:t>2,88</w:t>
            </w:r>
          </w:p>
        </w:tc>
        <w:tc>
          <w:tcPr>
            <w:tcW w:w="1964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  <w:t>9,85</w:t>
            </w:r>
          </w:p>
        </w:tc>
      </w:tr>
      <w:tr w:rsidR="008441C7" w:rsidRPr="00696238" w:rsidTr="00163270">
        <w:trPr>
          <w:gridAfter w:val="1"/>
          <w:wAfter w:w="8" w:type="dxa"/>
          <w:trHeight w:val="161"/>
          <w:jc w:val="center"/>
        </w:trPr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  <w:t>3,24</w:t>
            </w:r>
          </w:p>
        </w:tc>
        <w:tc>
          <w:tcPr>
            <w:tcW w:w="1964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  <w:t>9,44</w:t>
            </w:r>
          </w:p>
        </w:tc>
      </w:tr>
      <w:tr w:rsidR="008441C7" w:rsidRPr="00696238" w:rsidTr="00163270">
        <w:trPr>
          <w:gridAfter w:val="1"/>
          <w:wAfter w:w="8" w:type="dxa"/>
          <w:trHeight w:val="161"/>
          <w:jc w:val="center"/>
        </w:trPr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ind w:right="-286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956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  <w:t>2,64</w:t>
            </w:r>
          </w:p>
        </w:tc>
        <w:tc>
          <w:tcPr>
            <w:tcW w:w="1964" w:type="dxa"/>
          </w:tcPr>
          <w:p w:rsidR="008441C7" w:rsidRPr="00696238" w:rsidRDefault="008441C7" w:rsidP="00163270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696238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  <w:lang w:eastAsia="ar-SA"/>
              </w:rPr>
              <w:t>9,69</w:t>
            </w:r>
          </w:p>
        </w:tc>
      </w:tr>
    </w:tbl>
    <w:p w:rsidR="008441C7" w:rsidRPr="00696238" w:rsidRDefault="008441C7" w:rsidP="008441C7">
      <w:pPr>
        <w:tabs>
          <w:tab w:val="left" w:pos="142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8441C7" w:rsidRPr="007F2EDF" w:rsidRDefault="008441C7" w:rsidP="008441C7">
      <w:pPr>
        <w:tabs>
          <w:tab w:val="left" w:pos="142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F2EDF">
        <w:rPr>
          <w:rFonts w:ascii="Times New Roman" w:hAnsi="Times New Roman" w:cs="Times New Roman"/>
          <w:sz w:val="24"/>
          <w:szCs w:val="24"/>
        </w:rPr>
        <w:t>i  kształtują się  poniżej dopuszczalnego wskaźnika poziomu określonego w w/</w:t>
      </w:r>
      <w:proofErr w:type="spellStart"/>
      <w:r w:rsidRPr="007F2EDF">
        <w:rPr>
          <w:rFonts w:ascii="Times New Roman" w:hAnsi="Times New Roman" w:cs="Times New Roman"/>
          <w:sz w:val="24"/>
          <w:szCs w:val="24"/>
        </w:rPr>
        <w:t>wym</w:t>
      </w:r>
      <w:proofErr w:type="spellEnd"/>
      <w:r w:rsidRPr="007F2EDF">
        <w:rPr>
          <w:rFonts w:ascii="Times New Roman" w:hAnsi="Times New Roman" w:cs="Times New Roman"/>
          <w:sz w:val="24"/>
          <w:szCs w:val="24"/>
        </w:rPr>
        <w:t xml:space="preserve"> przepisie.</w:t>
      </w:r>
    </w:p>
    <w:p w:rsidR="008441C7" w:rsidRDefault="008441C7" w:rsidP="008441C7">
      <w:pPr>
        <w:tabs>
          <w:tab w:val="left" w:pos="142"/>
        </w:tabs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7F2EDF">
        <w:rPr>
          <w:rFonts w:ascii="Times New Roman" w:hAnsi="Times New Roman" w:cs="Times New Roman"/>
          <w:sz w:val="24"/>
          <w:szCs w:val="24"/>
        </w:rPr>
        <w:t>W wyniku zmian maksymalne dopuszczalne wskaźniki (kol. 4) zmniejszyły się w stosunku d</w:t>
      </w:r>
      <w:r>
        <w:rPr>
          <w:rFonts w:ascii="Times New Roman" w:hAnsi="Times New Roman" w:cs="Times New Roman"/>
          <w:sz w:val="24"/>
          <w:szCs w:val="24"/>
        </w:rPr>
        <w:t>o poprzedniej uchwały o  0,28%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p. Przew. Komisji – poddał pod głosowanie projekt uchwały w sprawie zmiany Wieloletniej Prognozy Finansowej Gminy na lata 2016-2024.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- 1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4F7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Pr="00034F75">
        <w:rPr>
          <w:rFonts w:ascii="Times New Roman" w:hAnsi="Times New Roman" w:cs="Times New Roman"/>
          <w:sz w:val="24"/>
          <w:szCs w:val="24"/>
        </w:rPr>
        <w:t xml:space="preserve"> uchwały w sprawie zmian w uchwale budżetowej na rok 2016</w:t>
      </w:r>
      <w:r>
        <w:rPr>
          <w:rFonts w:ascii="Times New Roman" w:hAnsi="Times New Roman" w:cs="Times New Roman"/>
          <w:sz w:val="24"/>
          <w:szCs w:val="24"/>
        </w:rPr>
        <w:t xml:space="preserve"> – przedstawiła p. Skarbnik, wyjaśniając: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b/>
          <w:sz w:val="24"/>
          <w:szCs w:val="24"/>
        </w:rPr>
        <w:t>W zakresie dochodów bieżących  majątkowych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w rozdziale 50095 wprowadza się  dochody budżetu o kwotę 589 wpływu (podatek VAT za 2015 rok zapłacony do US z wydatków Gminy);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w rozdziale 70005 gospodarka gruntami i nieruchomościami wprowadza się  dochody o kwotę 3 202 zł tytułem zwrotu kosztów rozgraniczenia działek prywatnych;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w rozdziale 71004 wprowadzono dotację z PROW w kwocie 38 745 zł na Opracowanie Programu Rewitalizacji dla Gminy Skaryszew (program nie będzie stanowił kosztów realizacji inwestycji),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w rozdziale 75023 wprowadza się dochody tytułem zwrotu przez P. Tkaczyka środków zgodnie z wyrokiem sądowym,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w rozdziale 75801 paragraf 2920 subwencja oświatowa zwiększona została o kwotę 14 923 zł. na wyposażenie gabinetów pomocy przedlekarskiej i stomatologicznej,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W dziale 801 oświata i wychowanie wprowadzono dochody, które zostały zrealizowane przez placówki oświatowe w łącznej kwocie 8 005 zł oraz dokonano zmiany klasyfikacji budżetowej środków otrzymanych na naukę angielskiego otrzymanych z Europejskiego Funduszu Rozwoju Wsi Polskiej,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w rozdziale 85212 wprowadzono  dochody gminy pochodzące z wyegzekwowanych świadczeń alimentacyjnych oraz kosztów upomnienia,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w rozdziale 92605 wprowadzono zwrot dotacji z 2015 roku od klubu sportowego „Zabiegany Skaryszew”.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b/>
          <w:sz w:val="24"/>
          <w:szCs w:val="24"/>
        </w:rPr>
        <w:t>W zakresie dochodów  majątkowych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w rozdziale 15011 wprowadzono zwrot niewykorzystanej  dotacji  przekazanych w 2015 roku na projekt BW – 3 801 zł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w rozdziale 60016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ABE">
        <w:rPr>
          <w:rFonts w:ascii="Times New Roman" w:hAnsi="Times New Roman" w:cs="Times New Roman"/>
          <w:sz w:val="24"/>
          <w:szCs w:val="24"/>
        </w:rPr>
        <w:t xml:space="preserve">wprowadzono dotację na budowę ul. Młynarskiej w Skaryszewie (PROW) w kwocie 377 641 zł oraz dotację ze środków związanych z wyłączeniem z produkcji gruntów rolnych (Dr. W Kłonowcu Koraczu) w kwocie 60 000 zł. 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w rozdziale 75095 wprowadzono  zwrot niewykorzystanej  dotacji  przekazanych w 2015 roku na projekt EA w kwocie 1 838 zł, oraz środki z ostatecznego rozliczenia projektu zakończonego w 2015 roku „Przeciwdziałanie wykluczeniu cyfrowemu” w łącznej kwocie 18 502 zł.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 xml:space="preserve">- w rozdziale 75814 wprowadzono środki w kwocie 91 453 zł pochodzące z niewydatkowanych niewygasających wydatków majątkowych z 2015 roku.  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Plan dochodów bieżących  wynosi po zmianach 51 709 540 zł.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Plan dochodów majątkowych po zmianach wynosi  701 980 zł.</w:t>
      </w:r>
    </w:p>
    <w:p w:rsidR="008441C7" w:rsidRPr="00486F04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Plan dochodów  ogółem po zmianach wynosi   52 411 520 zł.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BE">
        <w:rPr>
          <w:rFonts w:ascii="Times New Roman" w:hAnsi="Times New Roman" w:cs="Times New Roman"/>
          <w:b/>
          <w:sz w:val="24"/>
          <w:szCs w:val="24"/>
        </w:rPr>
        <w:t>W zakresie wydatków bieżących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w rozdziale 01008 (melioracje) zwiększono planowane wydatki o kwotę 25 550 zł – zwiększenie kwoty pozwoli na realizację prac odwodnieniowych nie objętych planem wydatków na przedsięwzięcia realizowane w ramach Funduszu Sołeckiego,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 xml:space="preserve">- zwiększono planowane wydatki na bieżące utrzymanie dróg o kwotę 35 000 zł. 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zwiększono o kwotę 40 000 zł środki na gospodarkę gruntami i nieruchomościami (pokrycie kosztów związanych z nabywaniem w drodze spec ustawy gruntów pod drogi: Graniczna i Sporna w Makowie, Młynarska w Skaryszewie) oraz koszty pracy geodetów przy rozgraniczeniach,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lastRenderedPageBreak/>
        <w:t>- w rozdziale 71004 plany zagospodarowania przestrzennego - wprowadzono dotację z PROW w kwocie 38 745 zł na Opracowanie Programu Rewitalizacji dla Gminy Skaryszew dokonując jednocześnie zmiany klasyfikacji udziału gminy w realizacji projektu,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w rozdziale 75023 zwiększono planowane wydatki budżetu o kwotę 35 000 zł na odprawę i wypłatę innych świadczeń dla pracownika odchodzącego na emeryturę (odejście nie było planowane w budżecie), zwiększono planowane wydatki na wdrożenie oprogramowania komputerowego związane z wprowadzeniem ustawą obowiązku przekazywania do US jednolitego pliku kontrolnego oraz zmian związanych z konsolidacją VAT,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 xml:space="preserve">- w rozdziale 75075 zwiększono o kwotę 15 000 zł środki przeznaczone na promocję gminy (wystawa psów, 30-lecie </w:t>
      </w:r>
      <w:proofErr w:type="spellStart"/>
      <w:r w:rsidRPr="004F4ABE">
        <w:rPr>
          <w:rFonts w:ascii="Times New Roman" w:hAnsi="Times New Roman" w:cs="Times New Roman"/>
          <w:sz w:val="24"/>
          <w:szCs w:val="24"/>
        </w:rPr>
        <w:t>Chomentowianek</w:t>
      </w:r>
      <w:proofErr w:type="spellEnd"/>
      <w:r w:rsidRPr="004F4ABE">
        <w:rPr>
          <w:rFonts w:ascii="Times New Roman" w:hAnsi="Times New Roman" w:cs="Times New Roman"/>
          <w:sz w:val="24"/>
          <w:szCs w:val="24"/>
        </w:rPr>
        <w:t>)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z rozdziału 75412 ochotnicze straże pożarne wyodrębniono do rozdziału 75414 obrona cywilna kwotę 100 zł (rekompensata za utracony zarobek w związku ze stawiennictwem do kwalifikacji wojskowej)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zwiększono rezerwę ogólną o kwotę 269 160 zł (w rezerwie umieszczono nierozdysponowane środki własne zwolnione poprzez przyjęcie do budżetu dotacji celowych),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W dziale 801  oświata i wychowanie rozdysponowano w rozdziałach 80101 i 80110 subwencję oświatową w kwocie 14 923 zł. na wyposażenie gabinetów pomocy przedlekarskiej i stomatologicznej oraz otwarto nowe paragrafy związane z opłatami na rzecz budżetu państwa (opłata za wydanie decyzji „SANEPID”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zwiększono o kwotę 12 000 zł środki na przeciwdziałanie alkoholizmowi – zwiększenie wynika ze zrealizowanych dochodów z 2015 roku,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w rozdziale 85415 pomoc materialna dla uczniów zwiększono planowane wydatki o kwotę 23 000 zł (stypendia za wyniki w nauce),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w rozdziale 90002 wyodrębniono nowy paragraf 3020 na wypłatę ekwiwalentów za używanie odzieży roboczej przez pracowników gospodarczych,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w rozdziale 90003 zmniejszono planowane wydatki na zakup materiałów i wyposażenia o kwotę 5 000 zł, środki przeniesiono do rozdziału 92601 obiekty sportowe,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w rozdziale 90004 utrzymanie zieleni dokonano przeniesienia planowanych wydatków z paragrafu 4270 zakup usług remontowych do paragrafu 4210 zakup materiałów i wyposażenia,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w rozdziale 90013  schroniska dla zwierząt wyodrębniono w paragrafu 4210 zakup materiałów i wyposażenia kwotę 5 000 zł z przeznaczeniem na wydatki majątkowe – zakup kontenera z przeznaczeniem na pomieszczenie gospodarcze,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w rozdziale 92105 pozostałe zadania w zakresie kultury zwiększono  planowane wydatki o kwotę 10 000 zł na sfinansowanie do końca roku potrzeb gminy w tym zakresie.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BE">
        <w:rPr>
          <w:rFonts w:ascii="Times New Roman" w:hAnsi="Times New Roman" w:cs="Times New Roman"/>
          <w:b/>
          <w:sz w:val="24"/>
          <w:szCs w:val="24"/>
        </w:rPr>
        <w:t>Dokonano zmiany klasyfikacji budżetowej wydatków na przedsięwzięcia realizowane w ramach Funduszu sołeckiego wynikające z zakresu tych zadań bez ich zmiany merytorycznej.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BE">
        <w:rPr>
          <w:rFonts w:ascii="Times New Roman" w:hAnsi="Times New Roman" w:cs="Times New Roman"/>
          <w:b/>
          <w:sz w:val="24"/>
          <w:szCs w:val="24"/>
        </w:rPr>
        <w:t>W zakresie wydatków majątkowych: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 xml:space="preserve">- w rozdziale 01010 rozbudowa sieci wodociągowej w mieście i gminie Skaryszew – zwiększono planowane wydatki o kwotę 74 000 zł (wodociągi w Gębarzowie – 19 000 zł, Kobylany 27 500 zł, Maków/Maków Nowy – 18 500 zł, ul. Spacerowa w Skaryszewie 8 300 zł.) 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 xml:space="preserve">- w rozdziale 60016 zwiększono środki na budowę i rozbudowę dróg gminnych łącznie o kwotę 22 800  zł w tym: 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zwiększenie planowanych wydatków na budowę drogi w m. Janów o kwotę 46 800 zł, (</w:t>
      </w:r>
      <w:r w:rsidRPr="004F4ABE">
        <w:rPr>
          <w:rFonts w:ascii="Times New Roman" w:hAnsi="Times New Roman" w:cs="Times New Roman"/>
          <w:b/>
          <w:sz w:val="24"/>
          <w:szCs w:val="24"/>
        </w:rPr>
        <w:t>zadanie w WPF</w:t>
      </w:r>
      <w:r w:rsidRPr="004F4ABE">
        <w:rPr>
          <w:rFonts w:ascii="Times New Roman" w:hAnsi="Times New Roman" w:cs="Times New Roman"/>
          <w:sz w:val="24"/>
          <w:szCs w:val="24"/>
        </w:rPr>
        <w:t>)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budowa ul. Willowej w Makowcu 10 000 zł (nowe zadanie)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zmniejszono o kwotę 119 000 zł środki na przebudowę dróg przez wieś Kłonowiec Koracz (zmniejszenie wynika z wprowadzenia dotacji i wycofania środków własnych),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wykonanie dokumentacji projektowej dla budowy dwóch dróg w miejscowości Kłonowiec Koracz 85 000 zł (nowe zadanie),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lastRenderedPageBreak/>
        <w:t xml:space="preserve">- zmniejszono planowane wydatki (dotacja) na projekt ASI o kwotę 1 721 zł (wg podpisanego aneksu; </w:t>
      </w:r>
      <w:r w:rsidRPr="004F4ABE">
        <w:rPr>
          <w:rFonts w:ascii="Times New Roman" w:hAnsi="Times New Roman" w:cs="Times New Roman"/>
          <w:b/>
          <w:sz w:val="24"/>
          <w:szCs w:val="24"/>
        </w:rPr>
        <w:t>zadanie w WPF</w:t>
      </w:r>
      <w:r w:rsidRPr="004F4ABE">
        <w:rPr>
          <w:rFonts w:ascii="Times New Roman" w:hAnsi="Times New Roman" w:cs="Times New Roman"/>
          <w:sz w:val="24"/>
          <w:szCs w:val="24"/>
        </w:rPr>
        <w:t>)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wprowadzono nowe zadanie – rozbudowa i przebudowa budynku remizy OSP w Skaryszewie – 25 000 zł (projekt),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wprowadzono środki w kwocie 10 000 zł na rozbudowę kanalizacji sanitarnej w ulicy nienazwanej od ul. Cichej oraz ul. Prusa przy gimnazjum,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kwotę 5 000 zł z przeznaczeniem na zakup kontenera z przeznaczeniem na pomieszczenie gospodarcze,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zwiększono środki na budowę i rozbudowę oświetlenia w mieście i gminie o kwotę 29 100 zł (w tym dokonano zmiany przeznaczenia Funduszu sołeckiego wsi Bogusławice – 4 450 zł),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- zmniejszono o kwotę 24 650 zł środki na zadanie „Budowa oświetlenia ulicznego w ulicach Słowackiego i Konopnickiej w Skaryszewie (przejście przez Skaryszew) – zadanie po przetargu, (</w:t>
      </w:r>
      <w:r w:rsidRPr="004F4ABE">
        <w:rPr>
          <w:rFonts w:ascii="Times New Roman" w:hAnsi="Times New Roman" w:cs="Times New Roman"/>
          <w:b/>
          <w:sz w:val="24"/>
          <w:szCs w:val="24"/>
        </w:rPr>
        <w:t>Zadanie w WPF)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 xml:space="preserve">- wprowadzono nowe zadanie w formie dotacji dla </w:t>
      </w:r>
      <w:proofErr w:type="spellStart"/>
      <w:r w:rsidRPr="004F4ABE">
        <w:rPr>
          <w:rFonts w:ascii="Times New Roman" w:hAnsi="Times New Roman" w:cs="Times New Roman"/>
          <w:sz w:val="24"/>
          <w:szCs w:val="24"/>
        </w:rPr>
        <w:t>ZGKiM</w:t>
      </w:r>
      <w:proofErr w:type="spellEnd"/>
      <w:r w:rsidRPr="004F4ABE">
        <w:rPr>
          <w:rFonts w:ascii="Times New Roman" w:hAnsi="Times New Roman" w:cs="Times New Roman"/>
          <w:sz w:val="24"/>
          <w:szCs w:val="24"/>
        </w:rPr>
        <w:t xml:space="preserve"> na kwotę 25 000 zł na zakup nośnika do posypywarki do zimowego utrzymania dróg.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BE">
        <w:rPr>
          <w:rFonts w:ascii="Times New Roman" w:hAnsi="Times New Roman" w:cs="Times New Roman"/>
          <w:b/>
          <w:sz w:val="24"/>
          <w:szCs w:val="24"/>
        </w:rPr>
        <w:t>zgodnie z załącznikiem nr 3 do uchwały,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Łączna kwota zwiększenia planu wydatków majątkowych wynosi 164 529 zł.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Plan wydatków bieżących  wynosi po zmianach 49 270 080 zł.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Plan wydatków majątkowych po zmianach wynosi  5 001 440 zł.</w:t>
      </w:r>
    </w:p>
    <w:p w:rsidR="008441C7" w:rsidRPr="004F4ABE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BE">
        <w:rPr>
          <w:rFonts w:ascii="Times New Roman" w:hAnsi="Times New Roman" w:cs="Times New Roman"/>
          <w:sz w:val="24"/>
          <w:szCs w:val="24"/>
        </w:rPr>
        <w:t>Plan wydatków  ogółem po zmianach wynosi   54 271 520 zł.</w:t>
      </w:r>
    </w:p>
    <w:p w:rsidR="008441C7" w:rsidRDefault="008441C7" w:rsidP="00844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BE">
        <w:rPr>
          <w:rFonts w:ascii="Times New Roman" w:hAnsi="Times New Roman" w:cs="Times New Roman"/>
          <w:b/>
          <w:sz w:val="24"/>
          <w:szCs w:val="24"/>
        </w:rPr>
        <w:t>Zmiany w budżecie nie spowodowały zmiany wyniku finansowego.</w:t>
      </w: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75">
        <w:rPr>
          <w:rFonts w:ascii="Times New Roman" w:hAnsi="Times New Roman" w:cs="Times New Roman"/>
          <w:sz w:val="24"/>
          <w:szCs w:val="24"/>
        </w:rPr>
        <w:t xml:space="preserve">Komisja wnioskuje w przypadku zadań inwestycyjnych o podawanie szczegółowego zakresu wykonywania czynności w danym roku rozliczeniowym oraz szczegółowego usytuowania wskazanych do realizacji inwestycji w terenie.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  (jedna osoba nieobecna podczas głosowania)</w:t>
      </w: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75">
        <w:rPr>
          <w:rFonts w:ascii="Times New Roman" w:hAnsi="Times New Roman" w:cs="Times New Roman"/>
          <w:sz w:val="24"/>
          <w:szCs w:val="24"/>
        </w:rPr>
        <w:t>Komisja przyjęła powyższy wniosek jednogłośnie w głosowaniu jawnym.</w:t>
      </w:r>
    </w:p>
    <w:p w:rsidR="008441C7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75">
        <w:rPr>
          <w:rFonts w:ascii="Times New Roman" w:hAnsi="Times New Roman" w:cs="Times New Roman"/>
          <w:sz w:val="24"/>
          <w:szCs w:val="24"/>
        </w:rPr>
        <w:t xml:space="preserve">Komisja zwraca się do p. Burmistrza o dookreślenie celu inwestycyjnego „Budowa ulicy Willowej w Makowcu” i zakresu rzeczowego zadania mającego być realizowanym za wskazaną kwotę 10 000 zł. Dotyczy także wszystkich pozostałych zadań.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  (jedna osoba nieobecna podczas głosowania)</w:t>
      </w: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75">
        <w:rPr>
          <w:rFonts w:ascii="Times New Roman" w:hAnsi="Times New Roman" w:cs="Times New Roman"/>
          <w:sz w:val="24"/>
          <w:szCs w:val="24"/>
        </w:rPr>
        <w:t>Komisja przyjęła powyższy wniosek jednogłośnie w głosowaniu jawnym.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S. Piwoński – wnioskuje, aby kwotę 119 000 zł zdjąć z rezerwy ogólnej i z tego 69 000 zł pozostawić na budowę drogi w miejscowości Kłonowiec Koracz od p. </w:t>
      </w:r>
      <w:proofErr w:type="spellStart"/>
      <w:r>
        <w:rPr>
          <w:rFonts w:ascii="Times New Roman" w:hAnsi="Times New Roman" w:cs="Times New Roman"/>
          <w:sz w:val="24"/>
          <w:szCs w:val="24"/>
        </w:rPr>
        <w:t>Węglickiego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natomiast 50 000 zł wprowadzić do zadania wykonania projektu drogi na odcinku do p. Adamczyków. Informuje, że mieszkańcy Kłonowca są zgodni, żeby oddać grunty pod drogę.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Burmistrz – wyjaśnił odnośnie przebudowy dróg w Kłonowcu Koraczu, jest to droga przez wieś typowo rolniczą i należy wykonać solidną drogę razem z podbudową, a w niektórych miejscach jest przewężenie. Proponuje, aby zakończyć to zadanie, etap który jest już zrobiony i uruchomić następny w trybie ZRID-u. W tym roku będziemy przygotowywali projekt na dwa kolejne odcinki, a w przyszłym roku planujemy ich budowę.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S. Piwoński – po zapewnieniu przez p. Burmistrza wyraża zgodę na zdjęcie kwoty 119 000 zł z budowy dróg w miejscowości Kłonowiec Koracz. </w:t>
      </w:r>
    </w:p>
    <w:p w:rsidR="008441C7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Pr="00B36A8D" w:rsidRDefault="008441C7" w:rsidP="0084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8D">
        <w:rPr>
          <w:rFonts w:ascii="Times New Roman" w:hAnsi="Times New Roman" w:cs="Times New Roman"/>
          <w:sz w:val="24"/>
          <w:szCs w:val="24"/>
        </w:rPr>
        <w:t xml:space="preserve">- p. Przew. </w:t>
      </w:r>
      <w:r>
        <w:rPr>
          <w:rFonts w:ascii="Times New Roman" w:hAnsi="Times New Roman" w:cs="Times New Roman"/>
          <w:sz w:val="24"/>
          <w:szCs w:val="24"/>
        </w:rPr>
        <w:t>Komisji – poddał pod głosowanie projekt uchwały w sprawie zmian w uchwale budżetowej na 2016 rok ze zgłoszonymi poprawkami.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3, p – 0, w – 2  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Komisja pozytywnie zaopiniowała przedstawiony projekt uchwały z w/w poprawkami większością głosów w głosowaniu jawnym.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projekt uchwały w sprawie emisji obligacji komunalnych – przedstawiła i omówiła p. Skarbnik.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przedstawiony projekt uchwały.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1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projekt uchwały w sprawie trybu prac nad projektem Uchwały Budżetowej – przedstawiła p. Skarbnik, udzielając wyjaśnień.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75">
        <w:rPr>
          <w:rFonts w:ascii="Times New Roman" w:hAnsi="Times New Roman" w:cs="Times New Roman"/>
          <w:sz w:val="24"/>
          <w:szCs w:val="24"/>
        </w:rPr>
        <w:t xml:space="preserve">- p. J. </w:t>
      </w:r>
      <w:proofErr w:type="spellStart"/>
      <w:r w:rsidRPr="00034F75">
        <w:rPr>
          <w:rFonts w:ascii="Times New Roman" w:hAnsi="Times New Roman" w:cs="Times New Roman"/>
          <w:sz w:val="24"/>
          <w:szCs w:val="24"/>
        </w:rPr>
        <w:t>Jeżmański</w:t>
      </w:r>
      <w:proofErr w:type="spellEnd"/>
      <w:r w:rsidRPr="00034F75">
        <w:rPr>
          <w:rFonts w:ascii="Times New Roman" w:hAnsi="Times New Roman" w:cs="Times New Roman"/>
          <w:sz w:val="24"/>
          <w:szCs w:val="24"/>
        </w:rPr>
        <w:t xml:space="preserve"> – wnioskuje, aby w § 3 ust.3. uchwały dodać punkt 8) w zakresie zadań inwestycyjnych określenie zakresu rzeczowego wydatków budżetowych bądź zakresu realizacji inwestycji, jej etapowania.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przedstawiony projekt uchwały wraz ze zgłoszoną poprawką.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3, p – 0, w – 2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wraz z poprawką większością głosów w głosowaniu jawnym.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S. Piwoński – zwrócił uwagę, że zgłaszane przez niego wnioski nie zostały zauważone przez p. Przewodniczącego Komisji.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zgodnie z uwagą p. Piwońskiego poddał pod reasumpcję głosowanie nad projektem uchwały w sprawie trybu prac nad projektem Uchwały Budżetowej.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(jedna osoba nie bierze udziału w głosowaniu)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Dokonano reasumpcji głosowania nad projektem uchwały w sprawie trybu prac nad projektem Uchwały Budżetowej – jednogłośnie w głosowaniu jawnym.  </w:t>
      </w: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75">
        <w:rPr>
          <w:rFonts w:ascii="Times New Roman" w:hAnsi="Times New Roman" w:cs="Times New Roman"/>
          <w:sz w:val="24"/>
          <w:szCs w:val="24"/>
        </w:rPr>
        <w:t xml:space="preserve">- p. S. Piwoński – wnioskuje, aby w § 2 uchwały dodać ust. 6. - nie przyjęte do realizacji w budżecie wnioski z lat poprzednich należy ponownie rozpatrzyć przy tworzeniu budżetu na rok następny.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przedstawiony wniosek.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75">
        <w:rPr>
          <w:rFonts w:ascii="Times New Roman" w:hAnsi="Times New Roman" w:cs="Times New Roman"/>
          <w:sz w:val="24"/>
          <w:szCs w:val="24"/>
        </w:rPr>
        <w:t>Za - 2, p – 1, w – 2</w:t>
      </w: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75">
        <w:rPr>
          <w:rFonts w:ascii="Times New Roman" w:hAnsi="Times New Roman" w:cs="Times New Roman"/>
          <w:sz w:val="24"/>
          <w:szCs w:val="24"/>
        </w:rPr>
        <w:t>Komisja przyjęła powyższy wniosek większością głosów w głosowaniu jawnym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4F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75">
        <w:rPr>
          <w:rFonts w:ascii="Times New Roman" w:hAnsi="Times New Roman" w:cs="Times New Roman"/>
          <w:sz w:val="24"/>
          <w:szCs w:val="24"/>
        </w:rPr>
        <w:t xml:space="preserve">Komisja wnioskuje o zobligowanie Przewodniczącego Komisji Rozwoju Gospodarczego i Finansów do zwołania posiedzenia powyższej Komisji z tematem związanym z omówieniem wniosków do projektu budżetu, na którą zostanie zaproszony p. Burmistrz celem wstępnego omówienia wniosków do projektu budżetu. Termin zwołania Komisji ustala się przed dniem 15 listopada.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powyższy wniosek.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- 1</w:t>
      </w: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75">
        <w:rPr>
          <w:rFonts w:ascii="Times New Roman" w:hAnsi="Times New Roman" w:cs="Times New Roman"/>
          <w:sz w:val="24"/>
          <w:szCs w:val="24"/>
        </w:rPr>
        <w:t xml:space="preserve">Komisja przyjęła powyższy wniosek większością głosów w głosowaniu jawnym.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p. Przew. Komisji – poddał pod głosowanie projekt uchwały w sprawie trybu prac nad projektem Uchwały Budżetowej ze zgłoszonymi poprawkami.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3, p – 1, w – 1</w:t>
      </w: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75">
        <w:rPr>
          <w:rFonts w:ascii="Times New Roman" w:hAnsi="Times New Roman" w:cs="Times New Roman"/>
          <w:sz w:val="24"/>
          <w:szCs w:val="24"/>
        </w:rPr>
        <w:t xml:space="preserve">Komisja pozytywnie zaopiniowała projekt uchwały z w/w poprawkami większością głosów w głosowaniu jawnym </w:t>
      </w: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projekt uchwały w sprawie określenia zasad udzielania dotacji na prace konserwatorskie, restauratorskie i roboty budowlane przy zabytkach wpisanych do rejestru zabytków położonych lub znajdujących się na terenie miasta i gminy Skaryszew.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przedstawiony projekt uchwały.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1, w – 0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projekt</w:t>
      </w:r>
      <w:r w:rsidRPr="00034F75">
        <w:rPr>
          <w:rFonts w:ascii="Times New Roman" w:hAnsi="Times New Roman" w:cs="Times New Roman"/>
          <w:sz w:val="24"/>
          <w:szCs w:val="24"/>
        </w:rPr>
        <w:t xml:space="preserve"> uchwały w sprawie przyjęcia gminnego programu opieki nad zabytkami na lata 2016-2019 dla miasta i gminy Skaryszew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75">
        <w:rPr>
          <w:rFonts w:ascii="Times New Roman" w:hAnsi="Times New Roman" w:cs="Times New Roman"/>
          <w:sz w:val="24"/>
          <w:szCs w:val="24"/>
        </w:rPr>
        <w:t>Komisja stwierdziła brak możliwości zapoznania się na posiedzeniu z treścią Gminnego programu opieki nad zabytkami na lata 2016-2019 dla miasta i gminy Skaryszew.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0, p – 3, w – 1    (</w:t>
      </w:r>
      <w:r w:rsidRPr="00034F75">
        <w:rPr>
          <w:rFonts w:ascii="Times New Roman" w:hAnsi="Times New Roman" w:cs="Times New Roman"/>
          <w:sz w:val="24"/>
          <w:szCs w:val="24"/>
        </w:rPr>
        <w:t>jedna osoba nieobecna podczas głosowania)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75">
        <w:rPr>
          <w:rFonts w:ascii="Times New Roman" w:hAnsi="Times New Roman" w:cs="Times New Roman"/>
          <w:sz w:val="24"/>
          <w:szCs w:val="24"/>
        </w:rPr>
        <w:t>Komisja negatywnie zaopiniowała przedstawiony projekt uchwały większoś</w:t>
      </w:r>
      <w:r>
        <w:rPr>
          <w:rFonts w:ascii="Times New Roman" w:hAnsi="Times New Roman" w:cs="Times New Roman"/>
          <w:sz w:val="24"/>
          <w:szCs w:val="24"/>
        </w:rPr>
        <w:t xml:space="preserve">cią głosów w głosowaniu jawnym. </w:t>
      </w: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34F7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Pr="00034F75">
        <w:rPr>
          <w:rFonts w:ascii="Times New Roman" w:hAnsi="Times New Roman" w:cs="Times New Roman"/>
          <w:sz w:val="24"/>
          <w:szCs w:val="24"/>
        </w:rPr>
        <w:t xml:space="preserve"> uchwały w sprawie nadania nazwy ulicy na terenie gminy Skaryszew, w miejscowości Makowiec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Jeżmański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informuje, że jeśli droga nie jest przekazana Gminie, została wydzielona, plan zagospodarowania jest prawowity, to właściciele działek mogą ubiegać się o nadanie nazwy ulicy. </w:t>
      </w: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75">
        <w:rPr>
          <w:rFonts w:ascii="Times New Roman" w:hAnsi="Times New Roman" w:cs="Times New Roman"/>
          <w:sz w:val="24"/>
          <w:szCs w:val="24"/>
        </w:rPr>
        <w:t xml:space="preserve">Komisja wnosi o doprecyzowanie w uzasadnieniu uchwały czy wnioskodawcy są jedynymi współwłaścicielami działki nr 148/11.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 pod głosowanie powyższy wniosek.</w:t>
      </w: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- 0</w:t>
      </w: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75">
        <w:rPr>
          <w:rFonts w:ascii="Times New Roman" w:hAnsi="Times New Roman" w:cs="Times New Roman"/>
          <w:sz w:val="24"/>
          <w:szCs w:val="24"/>
        </w:rPr>
        <w:t xml:space="preserve">Komisja przyjęła powyższy wniosek jednogłośnie w głosowaniu jawnym.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projekt uchwały w sprawie Regulaminu utrzymania czystości i porządku na terenie Miasta i Gminy Skaryszew.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poddał pod głosowanie przedstawiony projekt uchwały.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1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Ad.5. Sprawdzenie stanu przygotowań szkół do nowego roku szkolnego pod kątem przeprowadzonych remontów i konserwacji.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Rogala – poinformował o wizycie Komisji Oświaty w szkole w Modrzejowicach i stanie remontu w w/w szkole na dzień wizyty.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poinformował o postępie remontu w PSP w Makowie. 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Pr="00034F75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75">
        <w:rPr>
          <w:rFonts w:ascii="Times New Roman" w:hAnsi="Times New Roman" w:cs="Times New Roman"/>
          <w:sz w:val="24"/>
          <w:szCs w:val="24"/>
        </w:rPr>
        <w:lastRenderedPageBreak/>
        <w:t>Ad. Sprawy różne.</w:t>
      </w:r>
    </w:p>
    <w:p w:rsidR="008441C7" w:rsidRDefault="008441C7" w:rsidP="00844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75">
        <w:rPr>
          <w:rFonts w:ascii="Times New Roman" w:hAnsi="Times New Roman" w:cs="Times New Roman"/>
          <w:sz w:val="24"/>
          <w:szCs w:val="24"/>
        </w:rPr>
        <w:t>Zgłoszono uwagi dotyczące efektywności i skuteczności działania schroniska.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zakończono 25 posiedzenie Komisji Rozwoju Gospodarczego i Finansów.</w:t>
      </w:r>
    </w:p>
    <w:p w:rsidR="008441C7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Pr="00886EA9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EA9">
        <w:rPr>
          <w:rFonts w:ascii="Times New Roman" w:hAnsi="Times New Roman" w:cs="Times New Roman"/>
          <w:sz w:val="24"/>
          <w:szCs w:val="24"/>
        </w:rPr>
        <w:t>Protokołowała:                                                                Przewodniczący Komisji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41C7" w:rsidRPr="00886EA9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Pr="00C91844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EA9">
        <w:rPr>
          <w:rFonts w:ascii="Times New Roman" w:hAnsi="Times New Roman" w:cs="Times New Roman"/>
          <w:sz w:val="24"/>
          <w:szCs w:val="24"/>
        </w:rPr>
        <w:t>Wioleta Mazur                                                                   Waldemar Łukasiewicz</w:t>
      </w:r>
    </w:p>
    <w:p w:rsidR="008441C7" w:rsidRPr="0005643A" w:rsidRDefault="008441C7" w:rsidP="00844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1C7" w:rsidRPr="00034F75" w:rsidRDefault="008441C7" w:rsidP="008441C7">
      <w:pPr>
        <w:rPr>
          <w:rFonts w:ascii="Calibri" w:eastAsia="Calibri" w:hAnsi="Calibri" w:cs="Times New Roman"/>
        </w:rPr>
      </w:pPr>
    </w:p>
    <w:p w:rsidR="008441C7" w:rsidRDefault="008441C7" w:rsidP="008441C7"/>
    <w:p w:rsidR="00B6358E" w:rsidRDefault="00B6358E">
      <w:bookmarkStart w:id="0" w:name="_GoBack"/>
      <w:bookmarkEnd w:id="0"/>
    </w:p>
    <w:sectPr w:rsidR="00B6358E" w:rsidSect="00E87C21">
      <w:headerReference w:type="default" r:id="rId5"/>
      <w:pgSz w:w="11906" w:h="16838"/>
      <w:pgMar w:top="1417" w:right="1417" w:bottom="426" w:left="1417" w:header="708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nt246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1905975"/>
      <w:docPartObj>
        <w:docPartGallery w:val="Page Numbers (Top of Page)"/>
        <w:docPartUnique/>
      </w:docPartObj>
    </w:sdtPr>
    <w:sdtEndPr/>
    <w:sdtContent>
      <w:p w:rsidR="005644DA" w:rsidRDefault="008441C7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5644DA" w:rsidRDefault="008441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91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6C91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1C7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1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1C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441C7"/>
    <w:rPr>
      <w:rFonts w:ascii="Calibri" w:eastAsia="Calibri" w:hAnsi="Calibri" w:cs="Times New Roman"/>
    </w:rPr>
  </w:style>
  <w:style w:type="paragraph" w:customStyle="1" w:styleId="Tekstpodstawowy31">
    <w:name w:val="Tekst podstawowy 31"/>
    <w:rsid w:val="008441C7"/>
    <w:pPr>
      <w:suppressAutoHyphens/>
      <w:overflowPunct w:val="0"/>
      <w:ind w:right="-141"/>
      <w:jc w:val="both"/>
    </w:pPr>
    <w:rPr>
      <w:rFonts w:ascii="Calibri" w:eastAsia="Times New Roman" w:hAnsi="Calibri" w:cs="font246"/>
      <w:kern w:val="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1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1C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441C7"/>
    <w:rPr>
      <w:rFonts w:ascii="Calibri" w:eastAsia="Calibri" w:hAnsi="Calibri" w:cs="Times New Roman"/>
    </w:rPr>
  </w:style>
  <w:style w:type="paragraph" w:customStyle="1" w:styleId="Tekstpodstawowy31">
    <w:name w:val="Tekst podstawowy 31"/>
    <w:rsid w:val="008441C7"/>
    <w:pPr>
      <w:suppressAutoHyphens/>
      <w:overflowPunct w:val="0"/>
      <w:ind w:right="-141"/>
      <w:jc w:val="both"/>
    </w:pPr>
    <w:rPr>
      <w:rFonts w:ascii="Calibri" w:eastAsia="Times New Roman" w:hAnsi="Calibri" w:cs="font246"/>
      <w:kern w:val="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3290</Words>
  <Characters>19743</Characters>
  <Application>Microsoft Office Word</Application>
  <DocSecurity>0</DocSecurity>
  <Lines>164</Lines>
  <Paragraphs>45</Paragraphs>
  <ScaleCrop>false</ScaleCrop>
  <Company>Microsoft</Company>
  <LinksUpToDate>false</LinksUpToDate>
  <CharactersWithSpaces>22988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2</cp:revision>
  <dcterms:created xsi:type="dcterms:W3CDTF">2016-09-01T13:21:00Z</dcterms:created>
  <dcterms:modified xsi:type="dcterms:W3CDTF">2016-09-01T13:21:00Z</dcterms:modified>
</cp:coreProperties>
</file>