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70F" w14:textId="39906078" w:rsidR="00435950" w:rsidRPr="00EF4836" w:rsidRDefault="00435950" w:rsidP="00150A77">
      <w:pPr>
        <w:jc w:val="right"/>
        <w:rPr>
          <w:rFonts w:cstheme="minorHAnsi"/>
          <w:b/>
        </w:rPr>
      </w:pPr>
      <w:r w:rsidRPr="00EF4836">
        <w:rPr>
          <w:rFonts w:cstheme="minorHAnsi"/>
          <w:b/>
        </w:rPr>
        <w:t>Załącznik nr 1</w:t>
      </w:r>
      <w:r w:rsidR="00EF4836" w:rsidRPr="00EF4836">
        <w:rPr>
          <w:rFonts w:cstheme="minorHAnsi"/>
          <w:b/>
        </w:rPr>
        <w:t>0</w:t>
      </w:r>
      <w:r w:rsidRPr="00EF4836">
        <w:rPr>
          <w:rFonts w:cstheme="minorHAnsi"/>
          <w:b/>
        </w:rPr>
        <w:t xml:space="preserve"> do SWZ</w:t>
      </w:r>
    </w:p>
    <w:p w14:paraId="40D610E7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6720243A" w14:textId="77777777" w:rsidR="005E29CE" w:rsidRPr="00EF4836" w:rsidRDefault="005E29CE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6F533B8B" w:rsidR="00435950" w:rsidRPr="00B5169D" w:rsidRDefault="00435950" w:rsidP="00435950">
      <w:pPr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Wstępny Harmonogram rzeczowo-finansowy</w:t>
      </w:r>
    </w:p>
    <w:p w14:paraId="74F46522" w14:textId="77777777" w:rsidR="00EF4836" w:rsidRPr="00B5169D" w:rsidRDefault="00EF4836" w:rsidP="00C94DB1">
      <w:pPr>
        <w:spacing w:after="0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 xml:space="preserve">Budowa sieci wodociągowo-kanalizacyjnej </w:t>
      </w:r>
    </w:p>
    <w:p w14:paraId="3971D715" w14:textId="61E6F93C" w:rsidR="00C94DB1" w:rsidRPr="00EF4836" w:rsidRDefault="00EF4836" w:rsidP="00C94DB1">
      <w:pPr>
        <w:spacing w:after="0"/>
        <w:jc w:val="center"/>
        <w:rPr>
          <w:rFonts w:cstheme="minorHAnsi"/>
          <w:b/>
          <w:sz w:val="32"/>
          <w:szCs w:val="32"/>
        </w:rPr>
      </w:pPr>
      <w:r w:rsidRPr="00B5169D">
        <w:rPr>
          <w:rFonts w:cstheme="minorHAnsi"/>
          <w:b/>
          <w:sz w:val="32"/>
          <w:szCs w:val="32"/>
        </w:rPr>
        <w:t>w Klebarku Wielkim – Etap I</w:t>
      </w:r>
    </w:p>
    <w:p w14:paraId="1743FC3A" w14:textId="77777777" w:rsidR="00B5169D" w:rsidRDefault="00B5169D" w:rsidP="00B5169D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394"/>
        <w:gridCol w:w="2693"/>
        <w:gridCol w:w="2551"/>
      </w:tblGrid>
      <w:tr w:rsidR="00B5169D" w14:paraId="2887BE1F" w14:textId="77777777" w:rsidTr="002B2FFF">
        <w:trPr>
          <w:trHeight w:val="3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ED67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41F7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6763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Wartość elementu </w:t>
            </w:r>
          </w:p>
          <w:p w14:paraId="51E925D1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netto w zł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AF7E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wykonania</w:t>
            </w:r>
          </w:p>
          <w:p w14:paraId="16C57C8C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(w miesiącach </w:t>
            </w:r>
          </w:p>
          <w:p w14:paraId="3147BF6E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 podpisania umowy)</w:t>
            </w:r>
          </w:p>
        </w:tc>
      </w:tr>
      <w:tr w:rsidR="00B5169D" w14:paraId="00553E01" w14:textId="77777777" w:rsidTr="002B2FFF">
        <w:trPr>
          <w:trHeight w:val="8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78F6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6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5D11" w14:textId="77777777" w:rsidR="00B5169D" w:rsidRPr="00B75375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7537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Kanalizacja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sanitarna</w:t>
            </w:r>
          </w:p>
        </w:tc>
      </w:tr>
      <w:tr w:rsidR="00B5169D" w14:paraId="782B1C00" w14:textId="77777777" w:rsidTr="002B2FFF">
        <w:trPr>
          <w:trHeight w:val="8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6442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2526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Kanalizacja tłoczna-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</w:t>
            </w:r>
            <w:r>
              <w:rPr>
                <w:rFonts w:eastAsia="Times New Roman" w:cstheme="minorHAnsi"/>
                <w:color w:val="000000"/>
                <w:lang w:eastAsia="pl-PL"/>
              </w:rPr>
              <w:t>50 92,5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FD9E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75EF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5169D" w14:paraId="10BFEA26" w14:textId="77777777" w:rsidTr="002B2FFF">
        <w:trPr>
          <w:trHeight w:val="8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2576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E446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Kanalizacja tłoczna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</w:t>
            </w:r>
            <w:r>
              <w:rPr>
                <w:rFonts w:eastAsia="Times New Roman" w:cstheme="minorHAnsi"/>
                <w:color w:val="000000"/>
                <w:lang w:eastAsia="pl-PL"/>
              </w:rPr>
              <w:t>110 – 1515,55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4B6A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042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5169D" w14:paraId="2B2BCD14" w14:textId="77777777" w:rsidTr="002B2FFF">
        <w:trPr>
          <w:trHeight w:val="5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2F0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4E55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Ø160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– 429,2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EBF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543E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5169D" w14:paraId="0B00E680" w14:textId="77777777" w:rsidTr="002B2FFF">
        <w:trPr>
          <w:trHeight w:val="5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4A29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F530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Kanalizacja grawitacyjna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Ø200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– 1146,35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1AAA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B8B6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B5169D" w14:paraId="1BCC899F" w14:textId="77777777" w:rsidTr="002B2FFF">
        <w:trPr>
          <w:trHeight w:val="67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81CF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BCB7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Kanalizacja grawitacyjna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Ø250 – 7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7C24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4BBD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7A284AA2" w14:textId="77777777" w:rsidTr="002B2FFF">
        <w:trPr>
          <w:trHeight w:val="688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6B30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BC6B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Przepompownia strefowa PŚ1 – 1 sztuka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469C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C4B0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17E3E136" w14:textId="77777777" w:rsidTr="002B2FFF">
        <w:trPr>
          <w:trHeight w:val="712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199E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AA79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Przepompownia strefowa PŚ2 – 1 sztuka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C957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8DE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58EEB94C" w14:textId="77777777" w:rsidTr="002B2FFF">
        <w:trPr>
          <w:trHeight w:val="694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8FD0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E511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Przepompownia strefowa PS – 1 sztuka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BA75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E8F4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19C85275" w14:textId="77777777" w:rsidTr="002B2FFF">
        <w:trPr>
          <w:trHeight w:val="115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7E96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6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2280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Sieć wodociągowa część 1</w:t>
            </w:r>
          </w:p>
        </w:tc>
      </w:tr>
      <w:tr w:rsidR="00B5169D" w14:paraId="5D897B61" w14:textId="77777777" w:rsidTr="002B2FFF">
        <w:trPr>
          <w:trHeight w:val="664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10B2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4D5D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Ø160 – 137,75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B450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E7F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B5169D" w14:paraId="2D1D02BD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3225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A396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Ø110 – 411,85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8BEF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0C83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B5169D" w14:paraId="278C1522" w14:textId="77777777" w:rsidTr="002B2FFF">
        <w:trPr>
          <w:trHeight w:val="6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DDF5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DCEA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wodociągowe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Ø90 – 7,9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DFD6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04FB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B5169D" w14:paraId="75B0AA58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8E3F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D902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Przyłącza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Ø50 – 52,9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E91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B62D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bookmarkStart w:id="0" w:name="_Hlk121907603"/>
            <w:bookmarkEnd w:id="0"/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B5169D" w14:paraId="6D42AB3A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F58C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ADD7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Ø40 – 27,5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CA81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6F97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B5169D" w14:paraId="0317823E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B2D4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3214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Ø32 –  117,25 m 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F28C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B10F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 miesięcy*</w:t>
            </w:r>
          </w:p>
        </w:tc>
      </w:tr>
      <w:tr w:rsidR="00B5169D" w14:paraId="42BAFDAE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2651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96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C831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Sieć wodociągowe część 2</w:t>
            </w:r>
          </w:p>
        </w:tc>
      </w:tr>
      <w:tr w:rsidR="00B5169D" w14:paraId="75CA77B3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DC0C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780C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Ø110 – 585,10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4D55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A227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215EF14E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FD71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DC27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Sieć wodociągowe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Ø90 – 13,2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80A2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B718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62DDF7B6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1227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53B0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Przyłącza wodociągowa 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Ø50 – 4,5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4188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D9E5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728DAD93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F2EE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914B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Ø40 – 117,15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B567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EB04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B5169D" w14:paraId="7754A847" w14:textId="77777777" w:rsidTr="002B2FFF">
        <w:trPr>
          <w:trHeight w:val="57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D84A" w14:textId="77777777" w:rsidR="00B5169D" w:rsidRDefault="00B5169D" w:rsidP="002B2FF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5A56" w14:textId="77777777" w:rsidR="00B5169D" w:rsidRDefault="00B5169D" w:rsidP="002B2FF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Przyłącza wodociągowe </w:t>
            </w: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Ø32 –  111,35 m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6BB5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F01E" w14:textId="77777777" w:rsidR="00B5169D" w:rsidRDefault="00B5169D" w:rsidP="002B2FFF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05C8B5E4" w14:textId="77777777" w:rsidR="00B5169D" w:rsidRDefault="00B5169D" w:rsidP="00B5169D">
      <w:pPr>
        <w:rPr>
          <w:rFonts w:cstheme="minorHAnsi"/>
          <w:b/>
        </w:rPr>
      </w:pPr>
    </w:p>
    <w:p w14:paraId="7FF6964F" w14:textId="77777777" w:rsidR="00B5169D" w:rsidRPr="003C19C7" w:rsidRDefault="00B5169D" w:rsidP="00B5169D">
      <w:pPr>
        <w:rPr>
          <w:rFonts w:cstheme="minorHAnsi"/>
          <w:bCs/>
        </w:rPr>
      </w:pPr>
      <w:r w:rsidRPr="003C19C7">
        <w:rPr>
          <w:rFonts w:cstheme="minorHAnsi"/>
          <w:bCs/>
        </w:rPr>
        <w:t>*) Termin wymagany przez Zamawiającego to 6 miesięcy od dnia podpisania umowy.</w:t>
      </w:r>
    </w:p>
    <w:p w14:paraId="31F15487" w14:textId="77777777" w:rsidR="00B5169D" w:rsidRDefault="00B5169D" w:rsidP="00B5169D">
      <w:pPr>
        <w:rPr>
          <w:rFonts w:cstheme="minorHAnsi"/>
          <w:b/>
        </w:rPr>
      </w:pPr>
    </w:p>
    <w:p w14:paraId="12449464" w14:textId="77777777" w:rsidR="00B5169D" w:rsidRDefault="00B5169D" w:rsidP="00B5169D">
      <w:pPr>
        <w:ind w:left="2832" w:firstLine="708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netto: ……………………………… zł</w:t>
      </w:r>
    </w:p>
    <w:p w14:paraId="6BFD6F88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 xml:space="preserve">VAT ……….. % tj. ……………………………… zł </w:t>
      </w:r>
    </w:p>
    <w:p w14:paraId="74AC9EE0" w14:textId="77777777" w:rsidR="00B5169D" w:rsidRDefault="00B5169D" w:rsidP="00B5169D">
      <w:pPr>
        <w:ind w:left="3540" w:firstLine="4"/>
        <w:jc w:val="both"/>
        <w:rPr>
          <w:rFonts w:eastAsia="Arial" w:cstheme="minorHAnsi"/>
          <w:iCs/>
          <w:kern w:val="2"/>
          <w:szCs w:val="20"/>
        </w:rPr>
      </w:pPr>
      <w:r>
        <w:rPr>
          <w:rFonts w:eastAsia="Arial" w:cstheme="minorHAnsi"/>
          <w:iCs/>
          <w:kern w:val="2"/>
          <w:szCs w:val="20"/>
        </w:rPr>
        <w:t>Razem brutto: ……………………………… zł</w:t>
      </w:r>
    </w:p>
    <w:p w14:paraId="77930F75" w14:textId="0686F398" w:rsidR="009B0668" w:rsidRPr="00EF4836" w:rsidRDefault="009B0668" w:rsidP="006B6131">
      <w:pPr>
        <w:spacing w:after="0"/>
        <w:jc w:val="center"/>
        <w:rPr>
          <w:rFonts w:eastAsia="Arial" w:cstheme="minorHAnsi"/>
          <w:iCs/>
          <w:kern w:val="1"/>
          <w:szCs w:val="20"/>
        </w:rPr>
      </w:pPr>
    </w:p>
    <w:sectPr w:rsidR="009B0668" w:rsidRPr="00EF48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9A43" w14:textId="77777777" w:rsidR="008F622F" w:rsidRDefault="008F622F" w:rsidP="00435950">
      <w:pPr>
        <w:spacing w:after="0" w:line="240" w:lineRule="auto"/>
      </w:pPr>
      <w:r>
        <w:separator/>
      </w:r>
    </w:p>
  </w:endnote>
  <w:endnote w:type="continuationSeparator" w:id="0">
    <w:p w14:paraId="72E21939" w14:textId="77777777" w:rsidR="008F622F" w:rsidRDefault="008F622F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15B3" w14:textId="77777777" w:rsidR="008F622F" w:rsidRDefault="008F622F" w:rsidP="00435950">
      <w:pPr>
        <w:spacing w:after="0" w:line="240" w:lineRule="auto"/>
      </w:pPr>
      <w:r>
        <w:separator/>
      </w:r>
    </w:p>
  </w:footnote>
  <w:footnote w:type="continuationSeparator" w:id="0">
    <w:p w14:paraId="3717495F" w14:textId="77777777" w:rsidR="008F622F" w:rsidRDefault="008F622F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1C7F715F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EF4836">
      <w:rPr>
        <w:sz w:val="20"/>
        <w:szCs w:val="20"/>
      </w:rPr>
      <w:t>37</w:t>
    </w:r>
    <w:r w:rsidRPr="00435950">
      <w:rPr>
        <w:sz w:val="20"/>
        <w:szCs w:val="20"/>
      </w:rPr>
      <w:t>.202</w:t>
    </w:r>
    <w:r w:rsidR="004B7AB2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001A51"/>
    <w:rsid w:val="00010315"/>
    <w:rsid w:val="00025AB7"/>
    <w:rsid w:val="00050131"/>
    <w:rsid w:val="000B0A0C"/>
    <w:rsid w:val="00132657"/>
    <w:rsid w:val="0014613F"/>
    <w:rsid w:val="00150A77"/>
    <w:rsid w:val="001E235A"/>
    <w:rsid w:val="00242E57"/>
    <w:rsid w:val="00271958"/>
    <w:rsid w:val="002C326B"/>
    <w:rsid w:val="002C5CD9"/>
    <w:rsid w:val="00317364"/>
    <w:rsid w:val="003A1810"/>
    <w:rsid w:val="003C55E0"/>
    <w:rsid w:val="003D54ED"/>
    <w:rsid w:val="003E5441"/>
    <w:rsid w:val="00435950"/>
    <w:rsid w:val="00447000"/>
    <w:rsid w:val="004B7AB2"/>
    <w:rsid w:val="004E2EB8"/>
    <w:rsid w:val="00576302"/>
    <w:rsid w:val="005A1536"/>
    <w:rsid w:val="005E29CE"/>
    <w:rsid w:val="005E5E7B"/>
    <w:rsid w:val="005F468D"/>
    <w:rsid w:val="006843F6"/>
    <w:rsid w:val="006B6131"/>
    <w:rsid w:val="006D0217"/>
    <w:rsid w:val="0075121F"/>
    <w:rsid w:val="00751C98"/>
    <w:rsid w:val="00791A44"/>
    <w:rsid w:val="007B202C"/>
    <w:rsid w:val="00827102"/>
    <w:rsid w:val="00847893"/>
    <w:rsid w:val="008728BE"/>
    <w:rsid w:val="008B52AC"/>
    <w:rsid w:val="008E444A"/>
    <w:rsid w:val="008E6777"/>
    <w:rsid w:val="008F622F"/>
    <w:rsid w:val="009035FC"/>
    <w:rsid w:val="00967069"/>
    <w:rsid w:val="00970B1C"/>
    <w:rsid w:val="009B0668"/>
    <w:rsid w:val="009E0F7F"/>
    <w:rsid w:val="00B406BF"/>
    <w:rsid w:val="00B5169D"/>
    <w:rsid w:val="00B92F70"/>
    <w:rsid w:val="00BC34F1"/>
    <w:rsid w:val="00C36156"/>
    <w:rsid w:val="00C420AE"/>
    <w:rsid w:val="00C761D4"/>
    <w:rsid w:val="00C93846"/>
    <w:rsid w:val="00C94DB1"/>
    <w:rsid w:val="00CB1732"/>
    <w:rsid w:val="00DE10BF"/>
    <w:rsid w:val="00E34817"/>
    <w:rsid w:val="00EB2FC4"/>
    <w:rsid w:val="00EF4836"/>
    <w:rsid w:val="00F8719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5E29C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34"/>
    <w:locked/>
    <w:rsid w:val="005E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31</cp:revision>
  <cp:lastPrinted>2021-05-31T06:27:00Z</cp:lastPrinted>
  <dcterms:created xsi:type="dcterms:W3CDTF">2021-05-31T06:17:00Z</dcterms:created>
  <dcterms:modified xsi:type="dcterms:W3CDTF">2022-12-23T11:18:00Z</dcterms:modified>
</cp:coreProperties>
</file>