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D9AB" w14:textId="02F93199" w:rsidR="00844485" w:rsidRPr="00FB2870" w:rsidRDefault="00844485" w:rsidP="00FB2870">
      <w:pPr>
        <w:widowControl w:val="0"/>
        <w:snapToGrid w:val="0"/>
        <w:spacing w:after="0"/>
        <w:jc w:val="right"/>
        <w:rPr>
          <w:rFonts w:cstheme="minorHAnsi"/>
          <w:b/>
          <w:bCs/>
        </w:rPr>
      </w:pPr>
      <w:r w:rsidRPr="00FB2870">
        <w:rPr>
          <w:rFonts w:cstheme="minorHAnsi"/>
          <w:b/>
          <w:bCs/>
        </w:rPr>
        <w:t>Załącznik nr 1 do SWZ</w:t>
      </w:r>
    </w:p>
    <w:p w14:paraId="009A657D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1C6DCD22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6EE1E63E" w14:textId="77777777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75BBB804" w14:textId="6B4AD5F3" w:rsidR="0083490F" w:rsidRPr="00D86806" w:rsidRDefault="00844485" w:rsidP="00FB2870">
      <w:pPr>
        <w:widowControl w:val="0"/>
        <w:snapToGri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86806">
        <w:rPr>
          <w:rFonts w:cstheme="minorHAnsi"/>
          <w:b/>
          <w:bCs/>
          <w:sz w:val="28"/>
          <w:szCs w:val="28"/>
        </w:rPr>
        <w:t>Szczegółowy opis przedmiotu zamówienia i projektowane postanowienia umowy w sprawie zamówienia publicznego</w:t>
      </w:r>
    </w:p>
    <w:p w14:paraId="30FECE2E" w14:textId="38C4466B" w:rsidR="00844485" w:rsidRPr="00FB2870" w:rsidRDefault="00844485" w:rsidP="00FB2870">
      <w:pPr>
        <w:widowControl w:val="0"/>
        <w:snapToGrid w:val="0"/>
        <w:spacing w:after="0"/>
        <w:jc w:val="both"/>
        <w:rPr>
          <w:rFonts w:cstheme="minorHAnsi"/>
          <w:b/>
          <w:bCs/>
        </w:rPr>
      </w:pPr>
    </w:p>
    <w:p w14:paraId="1D5411F1" w14:textId="0689467E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1. Przedmiotem zamówienia jest Ś</w:t>
      </w:r>
      <w:r w:rsidRPr="00844485">
        <w:rPr>
          <w:rFonts w:eastAsia="Times New Roman" w:cstheme="minorHAnsi"/>
          <w:lang w:eastAsia="en-US"/>
        </w:rPr>
        <w:t xml:space="preserve">wiadczenie usług pocztowych dla Urzędu Gminy w Purdzie w </w:t>
      </w:r>
      <w:r w:rsidRPr="00844485">
        <w:rPr>
          <w:rFonts w:eastAsiaTheme="minorHAnsi" w:cstheme="minorHAnsi"/>
          <w:lang w:eastAsia="en-US"/>
        </w:rPr>
        <w:t>obrocie krajowym i zagranicznym, w zakresie przyjmowania, przemieszczania, doręczania przesyłek pocztowych i ich ewentualnych</w:t>
      </w:r>
      <w:r w:rsidRPr="00FB2870">
        <w:rPr>
          <w:rFonts w:eastAsiaTheme="minorHAnsi" w:cstheme="minorHAnsi"/>
          <w:lang w:eastAsia="en-US"/>
        </w:rPr>
        <w:t xml:space="preserve"> </w:t>
      </w:r>
      <w:r w:rsidRPr="00844485">
        <w:rPr>
          <w:rFonts w:eastAsiaTheme="minorHAnsi" w:cstheme="minorHAnsi"/>
          <w:lang w:eastAsia="en-US"/>
        </w:rPr>
        <w:t xml:space="preserve">zwrotów. </w:t>
      </w:r>
    </w:p>
    <w:p w14:paraId="00E84985" w14:textId="1030A47D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2.</w:t>
      </w:r>
      <w:r w:rsidRPr="00FB2870">
        <w:rPr>
          <w:rFonts w:eastAsiaTheme="minorHAnsi" w:cstheme="minorHAnsi"/>
          <w:lang w:eastAsia="en-US"/>
        </w:rPr>
        <w:t xml:space="preserve"> </w:t>
      </w:r>
      <w:r w:rsidRPr="00844485">
        <w:rPr>
          <w:rFonts w:eastAsiaTheme="minorHAnsi" w:cstheme="minorHAnsi"/>
          <w:lang w:eastAsia="en-US"/>
        </w:rPr>
        <w:t>Usługi będące przedmiotem zamówienia będą świadczone zgodnie z przepisami powszechnie obowiązującego prawa, w szczególności zgodnie z przepisami ustawy Prawo pocztowe z dnia 23 listopada 2012 r. (t.j. Dz.U. z 2022 r. poz. 896) oraz aktów wykonawczych wydanych na jej podstawie.</w:t>
      </w:r>
    </w:p>
    <w:p w14:paraId="7B73D16C" w14:textId="7E459C53" w:rsidR="00844485" w:rsidRPr="00844485" w:rsidRDefault="00844485" w:rsidP="00FB2870">
      <w:pPr>
        <w:numPr>
          <w:ilvl w:val="0"/>
          <w:numId w:val="21"/>
        </w:num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Realizacja przedmiotu zamówienia będzie odbywać się od 01.01.2023 r. do 31.12.2025 r.</w:t>
      </w:r>
    </w:p>
    <w:p w14:paraId="34F9E9BD" w14:textId="4189F273" w:rsidR="00844485" w:rsidRPr="00844485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="Times New Roman" w:cstheme="minorHAnsi"/>
        </w:rPr>
        <w:t xml:space="preserve">Poprzez przesyłki pocztowe, będące przedmiotem zamówienia rozumie się przesyłki wymienione w tabeli punkt </w:t>
      </w:r>
      <w:r w:rsidRPr="0040505A">
        <w:rPr>
          <w:rFonts w:eastAsia="Times New Roman" w:cstheme="minorHAnsi"/>
        </w:rPr>
        <w:t>2</w:t>
      </w:r>
      <w:r w:rsidR="0040505A" w:rsidRPr="0040505A">
        <w:rPr>
          <w:rFonts w:eastAsia="Times New Roman" w:cstheme="minorHAnsi"/>
        </w:rPr>
        <w:t>7</w:t>
      </w:r>
      <w:r w:rsidRPr="00844485">
        <w:rPr>
          <w:rFonts w:eastAsia="Times New Roman" w:cstheme="minorHAnsi"/>
        </w:rPr>
        <w:t xml:space="preserve">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 xml:space="preserve">Orientacyjne ilości i rodzaj przesyłek w okresie jednego roku. </w:t>
      </w:r>
    </w:p>
    <w:p w14:paraId="4002C467" w14:textId="77777777" w:rsidR="00844485" w:rsidRPr="00FB2870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485">
        <w:rPr>
          <w:rFonts w:eastAsia="Times New Roman" w:cstheme="minorHAnsi"/>
        </w:rPr>
        <w:t xml:space="preserve"> Przesyłki listowe będą podzielone na przesyłki rejestrowane i nierejestrowane. Nadanie przez Zamawiającego przesyłki rejestrowanej winno być każdorazowo potwierdzone w rejestrze przesyłek. Zamawiający będzie sporządzał zestawienia nadawanych przesyłek nierejestrowanych oraz wymagał potwierdzenia ich odbioru od Wykonawcy.</w:t>
      </w:r>
    </w:p>
    <w:p w14:paraId="1327F9FF" w14:textId="6BD6786D" w:rsidR="00844485" w:rsidRPr="00844485" w:rsidRDefault="00844485" w:rsidP="00FB2870">
      <w:pPr>
        <w:numPr>
          <w:ilvl w:val="0"/>
          <w:numId w:val="21"/>
        </w:numPr>
        <w:spacing w:after="0"/>
        <w:ind w:left="284" w:hanging="284"/>
        <w:contextualSpacing/>
        <w:jc w:val="both"/>
        <w:rPr>
          <w:rFonts w:eastAsia="Times New Roman" w:cstheme="minorHAnsi"/>
        </w:rPr>
      </w:pPr>
      <w:r w:rsidRPr="00844485">
        <w:rPr>
          <w:rFonts w:eastAsia="Times New Roman" w:cstheme="minorHAnsi"/>
        </w:rPr>
        <w:t>Zamawiający zastrzega sobie możliwość nadawania przesyłek listowych, paczek nieujętych w formularzu cenowym (np. innych typów lub uwzględniających usługi dodatkowe). W przypadku nadawania przez Zamawiającego przesyłek oraz korzystania z usług nieujętych w formularzu cenowym, podstawą rozliczenia będą ceny z cennika usług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Wykonawcy, obowiązujące w dniu nadania/zwrotu przesyłki, a usługi te będą świadczone na podstawie aktualnie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obowiązującego regulaminu świadczenia usług Wykonawcy.</w:t>
      </w:r>
    </w:p>
    <w:p w14:paraId="7FAE72BD" w14:textId="55F81F9D" w:rsidR="00844485" w:rsidRPr="00844485" w:rsidRDefault="00844485" w:rsidP="00FB2870">
      <w:pPr>
        <w:spacing w:after="0"/>
        <w:ind w:left="284" w:hanging="284"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7.</w:t>
      </w:r>
      <w:r w:rsidRPr="00844485">
        <w:rPr>
          <w:rFonts w:eastAsia="Times New Roman" w:cstheme="minorHAnsi"/>
          <w:b/>
          <w:bCs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Zamawiający będzie dostarczał codziennie przesyłki pocztowe wraz z dokumentami nadawczymi do placówki nadawczej wykonawcy.</w:t>
      </w:r>
    </w:p>
    <w:p w14:paraId="2FE4D44B" w14:textId="254ECAEA" w:rsidR="00844485" w:rsidRPr="00844485" w:rsidRDefault="00844485" w:rsidP="00FB2870">
      <w:pPr>
        <w:spacing w:after="0"/>
        <w:ind w:left="284" w:hanging="284"/>
        <w:jc w:val="both"/>
        <w:rPr>
          <w:rFonts w:eastAsiaTheme="minorHAnsi" w:cstheme="minorHAnsi"/>
          <w:b/>
          <w:bCs/>
          <w:u w:val="single"/>
          <w:lang w:eastAsia="en-US"/>
        </w:rPr>
      </w:pPr>
      <w:r w:rsidRPr="00844485">
        <w:rPr>
          <w:rFonts w:eastAsia="Times New Roman" w:cstheme="minorHAnsi"/>
        </w:rPr>
        <w:t>8.</w:t>
      </w:r>
      <w:r w:rsidRPr="00FB2870">
        <w:rPr>
          <w:rFonts w:eastAsia="Times New Roman" w:cstheme="minorHAnsi"/>
        </w:rPr>
        <w:t xml:space="preserve"> </w:t>
      </w:r>
      <w:r w:rsidRPr="00844485">
        <w:rPr>
          <w:rFonts w:eastAsia="Times New Roman" w:cstheme="minorHAnsi"/>
        </w:rPr>
        <w:t>Formaty przesyłek: Przesyłki listowe krajowe będą nadawane w formatach wymienionych w tabeli 2</w:t>
      </w:r>
      <w:r w:rsidR="0040505A">
        <w:rPr>
          <w:rFonts w:eastAsia="Times New Roman" w:cstheme="minorHAnsi"/>
        </w:rPr>
        <w:t>7</w:t>
      </w:r>
      <w:r w:rsidRPr="00844485">
        <w:rPr>
          <w:rFonts w:eastAsia="Times New Roman" w:cstheme="minorHAnsi"/>
        </w:rPr>
        <w:t xml:space="preserve">.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>Orientacyjne ilości i rodzaj przesyłek w okresie jednego roku.</w:t>
      </w:r>
    </w:p>
    <w:p w14:paraId="3B01C857" w14:textId="1135B43D" w:rsidR="00844485" w:rsidRPr="00844485" w:rsidRDefault="00844485" w:rsidP="00FB2870">
      <w:pPr>
        <w:spacing w:after="0"/>
        <w:ind w:left="284" w:hanging="284"/>
        <w:jc w:val="both"/>
        <w:rPr>
          <w:rFonts w:eastAsia="Times New Roman" w:cstheme="minorHAnsi"/>
        </w:rPr>
      </w:pPr>
      <w:r w:rsidRPr="00844485">
        <w:rPr>
          <w:rFonts w:eastAsiaTheme="minorHAnsi" w:cstheme="minorHAnsi"/>
          <w:lang w:eastAsia="en-US"/>
        </w:rPr>
        <w:t xml:space="preserve">9. </w:t>
      </w:r>
      <w:r w:rsidRPr="00844485">
        <w:rPr>
          <w:rFonts w:eastAsia="Times New Roman" w:cstheme="minorHAnsi"/>
        </w:rPr>
        <w:t>Wykonawca zobowiązany jest do świadczenia usługi dostarczania przesyłek do każdego miejsca</w:t>
      </w:r>
      <w:r w:rsidRPr="00844485">
        <w:rPr>
          <w:rFonts w:eastAsia="Times New Roman" w:cstheme="minorHAnsi"/>
        </w:rPr>
        <w:br/>
        <w:t>w Polsce i za granicą objętego porozumieniem ze Światowym Związkiem Pocztowym, wskazanego przez Zamawiającego jako adres przesyłki.</w:t>
      </w:r>
    </w:p>
    <w:p w14:paraId="2822E7A4" w14:textId="48A30F77" w:rsidR="00844485" w:rsidRPr="00844485" w:rsidRDefault="00844485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844485">
        <w:rPr>
          <w:rFonts w:eastAsia="Times New Roman" w:cstheme="minorHAnsi"/>
        </w:rPr>
        <w:t xml:space="preserve">10. </w:t>
      </w:r>
      <w:r w:rsidRPr="00844485">
        <w:rPr>
          <w:rFonts w:eastAsiaTheme="minorHAnsi" w:cstheme="minorHAnsi"/>
          <w:lang w:eastAsia="en-US"/>
        </w:rPr>
        <w:t>Jeżeli adresat odmawia przyjęcia pisma, pismo zwraca się nadawcy z adnotacją o odmowie jego przyjęcia i datą odmowy.</w:t>
      </w:r>
    </w:p>
    <w:p w14:paraId="1235EC58" w14:textId="20B2E268" w:rsidR="00844485" w:rsidRPr="00844485" w:rsidRDefault="00844485" w:rsidP="00FB2870">
      <w:pPr>
        <w:ind w:left="284" w:hanging="284"/>
        <w:contextualSpacing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>11. W przypadku zwrotu przesyłki do Zamawiającego Wykonawca jest zobowiązany do wskazania powodu zwrotu (przyczyny niedoręczenia) poprzez wypełnienie odpowiednio formularza ZPO.</w:t>
      </w:r>
    </w:p>
    <w:p w14:paraId="7B454486" w14:textId="5A1B1570" w:rsidR="00844485" w:rsidRPr="00844485" w:rsidRDefault="00844485" w:rsidP="00FB2870">
      <w:pPr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12. Zamawiający   wymaga,    aby   Wykonawca   dysponował   placówką   nadawczą      w      miejscowości, w której znajduje się siedziba Zamawiającego tj. w miejscowości Purda przez cały okres objęty umową.</w:t>
      </w:r>
    </w:p>
    <w:p w14:paraId="0420E18D" w14:textId="52380307" w:rsidR="00844485" w:rsidRPr="00844485" w:rsidRDefault="00844485" w:rsidP="00FB2870">
      <w:pPr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13. Wykonawca powinien  zapewnić możliwość dokonywania ewentualnych zwrotów oraz nadawania  wszystkich przesyłek objętych przedmiotem niniejszego zamówienia, w placówce nadawczej Wykonawcy czynnej w dni robocze w godz. co najmniej od 11:00 do 16:00.</w:t>
      </w:r>
    </w:p>
    <w:p w14:paraId="2B1D8119" w14:textId="5334313A" w:rsidR="00844485" w:rsidRPr="00844485" w:rsidRDefault="00844485" w:rsidP="00FB2870">
      <w:pPr>
        <w:numPr>
          <w:ilvl w:val="0"/>
          <w:numId w:val="19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Wykonawca ma obowiązek potwierdzania każdorazowo przyjętych do wyekspediowania przesyłek pieczęcią, podpisem i datą w pocztowej książce nadawczej (dla przesyłek rejestrowanych) oraz na zestawieniu ilościowym według poszczególnych kategorii wagowych (dla przesyłek zwykłych).</w:t>
      </w:r>
    </w:p>
    <w:p w14:paraId="44323E51" w14:textId="3CAC69D0" w:rsidR="00844485" w:rsidRPr="00844485" w:rsidRDefault="00844485" w:rsidP="00FB2870">
      <w:pPr>
        <w:spacing w:after="0"/>
        <w:ind w:left="278" w:hanging="278"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15. Niedopuszczalne jest nieuzasadnione przetrzymywanie przesyłek przez Wykonawcę.</w:t>
      </w:r>
    </w:p>
    <w:p w14:paraId="568D87FC" w14:textId="7777777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Nadanie przesyłek musi nastąpić w dniu ich odbioru przez Wykonawcę od Zamawiającego.</w:t>
      </w:r>
    </w:p>
    <w:p w14:paraId="0EA6B13B" w14:textId="77777777" w:rsidR="00844485" w:rsidRPr="00844485" w:rsidRDefault="00844485" w:rsidP="00FB2870">
      <w:pPr>
        <w:ind w:left="720"/>
        <w:contextualSpacing/>
        <w:jc w:val="both"/>
        <w:rPr>
          <w:rFonts w:eastAsia="Times New Roman" w:cstheme="minorHAnsi"/>
          <w:lang w:eastAsia="en-US"/>
        </w:rPr>
      </w:pPr>
    </w:p>
    <w:p w14:paraId="4651A8B4" w14:textId="58294855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lastRenderedPageBreak/>
        <w:t>W razie braku możliwości dostarczenia korespondencji do adresata, po upływie obowiązującego terminu przesyłka zwracana jest Zamawiającemu wraz z podaniem przyczyny jej niedoręczenia.</w:t>
      </w:r>
    </w:p>
    <w:p w14:paraId="46BB639E" w14:textId="7D2BF41C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W przypadku uszkodzenia przesyłki Wykonawca ma obowiązek ją zabezpieczyć oraz nanieść adnotację z informacją</w:t>
      </w:r>
      <w:r w:rsidR="00FB2870" w:rsidRPr="00FB2870">
        <w:rPr>
          <w:rFonts w:eastAsia="Times New Roman" w:cstheme="minorHAnsi"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o osobie dokonującej zabezpieczenia.</w:t>
      </w:r>
    </w:p>
    <w:p w14:paraId="052B1ED5" w14:textId="4B50460F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Przesyłki nie wyszczególnione w załączniku (ogłoszenia o zamówieniu) będą miały ceny zawarte w cenniku Wykonawcy aktualnym na dzień nadania przesyłki.</w:t>
      </w:r>
    </w:p>
    <w:p w14:paraId="62475B2A" w14:textId="38E1D7F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 Zamawiający będzie stosował wzory druków potwierdzenia odbioru dostosowane do  przepisów Ordynacji Podatkowej i Kodeksu Postępowania Administracyjnego stanowiącymi załącznik do</w:t>
      </w:r>
      <w:r w:rsidR="00FB2870" w:rsidRPr="00FB2870">
        <w:rPr>
          <w:rFonts w:eastAsia="Times New Roman" w:cstheme="minorHAnsi"/>
          <w:lang w:eastAsia="en-US"/>
        </w:rPr>
        <w:t xml:space="preserve"> </w:t>
      </w:r>
      <w:r w:rsidRPr="00844485">
        <w:rPr>
          <w:rFonts w:eastAsia="Times New Roman" w:cstheme="minorHAnsi"/>
          <w:lang w:eastAsia="en-US"/>
        </w:rPr>
        <w:t>umowy.</w:t>
      </w:r>
    </w:p>
    <w:p w14:paraId="099DE7E2" w14:textId="078D3619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Okresem rozliczeniowym będzie jeden miesiąc kalendarzowy.</w:t>
      </w:r>
    </w:p>
    <w:p w14:paraId="5C727E72" w14:textId="0974DDDC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 Podstawę rozliczeń finansowych stanowi suma opłat za świadczone usługi stwierdzone na podstawie dokumentów nadawczych i oddawczych za okres rozliczeniowy.</w:t>
      </w:r>
    </w:p>
    <w:p w14:paraId="09D63CB0" w14:textId="57927805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 xml:space="preserve">Podstawą do zapłaty za świadczone usługi będzie </w:t>
      </w:r>
      <w:r w:rsidR="00B000D2">
        <w:rPr>
          <w:rFonts w:eastAsia="Times New Roman" w:cstheme="minorHAnsi"/>
          <w:lang w:eastAsia="en-US"/>
        </w:rPr>
        <w:t>prawidłowo wystawiona faktura przez Wykonawcę z terminem płatności 14 dni liczonym od momentu otrzymania przez Zamawiającego faktury.</w:t>
      </w:r>
    </w:p>
    <w:p w14:paraId="6D5C8EC5" w14:textId="569A82A8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</w:rPr>
        <w:t>Zamawiający zobowiązuje się do o</w:t>
      </w:r>
      <w:r w:rsidRPr="00844485">
        <w:rPr>
          <w:rFonts w:eastAsia="Times New Roman" w:cstheme="minorHAnsi"/>
          <w:lang w:eastAsia="en-US"/>
        </w:rPr>
        <w:t>pakowanie przesyłek listowych i paczek w sposób umożliwiający Wykonawcy doręczenie  ich bez ubytku i uszkodzenia do miejsca zgodnie z adresem przeznaczenia. Opakowanie przesyłek listowych stanowi  zaklejona koperta Zamawiającego, opakowanie paczki stanowi  sztywne pudełko lub szary papier Zamawiającego (waga przesyłki określona będzie w stanie zamkniętym). Zamawiający nie dopuszcza  stosowania przez Wykonawcę własnych opakowań na listy i przesyłki.</w:t>
      </w:r>
    </w:p>
    <w:p w14:paraId="6DE7A5CB" w14:textId="643A9052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Zamawiający zobowiązuje się do umieszczenia na przesyłce listowej  lub paczce w sposób czytelny nazwy odbiorcy wraz z jego adresem, określenie rodzaju przesyłki (zwykła, polecona, priorytet, czy ze zwrotnym potwierdzeniem odbioru) oraz umieszczenie na stronie adresowej każdej nadawanej przesyłki pieczątki określającej pełną nazwę i adres Zamawiającego.</w:t>
      </w:r>
    </w:p>
    <w:p w14:paraId="6AD052FB" w14:textId="77777777" w:rsidR="00844485" w:rsidRPr="00844485" w:rsidRDefault="00844485" w:rsidP="00FB2870">
      <w:pPr>
        <w:numPr>
          <w:ilvl w:val="0"/>
          <w:numId w:val="20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</w:rPr>
        <w:t>Zamawiający zobowiązuje się do n</w:t>
      </w:r>
      <w:r w:rsidRPr="00844485">
        <w:rPr>
          <w:rFonts w:eastAsia="Times New Roman" w:cstheme="minorHAnsi"/>
          <w:lang w:eastAsia="en-US"/>
        </w:rPr>
        <w:t>adawania przesyłek w stanie uporządkowanym, przez co należy rozumieć:</w:t>
      </w:r>
    </w:p>
    <w:p w14:paraId="550C594C" w14:textId="77777777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dla przesyłek rejestrowanych: wypełnienie książki nadawczej. Oryginalne strony książki nadawczej będą przeznaczone dla  Wykonawcy   w celach   rozliczeniowych, a kopie stanowić będą dla Zamawiającego  potwierdzenie nadania partii przesyłek,</w:t>
      </w:r>
    </w:p>
    <w:p w14:paraId="55CAAB06" w14:textId="77777777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dla przesyłek zwykłych: zestawienie ilościowe przesyłek, z których oryginał będzie przeznaczony dla Wykonawcy w celach rozliczeniowych, a kopia stanowić będzie dla Zamawiającego potwierdzenie nadania danej partii przesyłek,</w:t>
      </w:r>
    </w:p>
    <w:p w14:paraId="0D051C4F" w14:textId="35BF8829" w:rsidR="00844485" w:rsidRPr="00844485" w:rsidRDefault="00844485" w:rsidP="00FB2870">
      <w:pPr>
        <w:ind w:left="420"/>
        <w:contextualSpacing/>
        <w:jc w:val="both"/>
        <w:rPr>
          <w:rFonts w:eastAsia="Times New Roman" w:cstheme="minorHAnsi"/>
          <w:lang w:eastAsia="en-US"/>
        </w:rPr>
      </w:pPr>
      <w:r w:rsidRPr="00844485">
        <w:rPr>
          <w:rFonts w:eastAsia="Times New Roman" w:cstheme="minorHAnsi"/>
          <w:lang w:eastAsia="en-US"/>
        </w:rPr>
        <w:t>- umieszczanie na stronie adresowej przesyłek, w miejscu przeznaczonym na opłatę napisu (nadruku) lub odcisku pieczęci o treści wskazanej przez Wykonawcę.</w:t>
      </w:r>
    </w:p>
    <w:p w14:paraId="3321CF4E" w14:textId="22C3FB40" w:rsidR="00FB2870" w:rsidRDefault="00844485" w:rsidP="008E3B51">
      <w:pPr>
        <w:spacing w:after="0"/>
        <w:jc w:val="both"/>
        <w:rPr>
          <w:rFonts w:eastAsiaTheme="minorHAnsi" w:cstheme="minorHAnsi"/>
          <w:lang w:eastAsia="en-US"/>
        </w:rPr>
      </w:pPr>
      <w:r w:rsidRPr="00844485">
        <w:rPr>
          <w:rFonts w:eastAsiaTheme="minorHAnsi" w:cstheme="minorHAnsi"/>
          <w:lang w:eastAsia="en-US"/>
        </w:rPr>
        <w:t xml:space="preserve">27. </w:t>
      </w:r>
      <w:r w:rsidRPr="00844485">
        <w:rPr>
          <w:rFonts w:eastAsiaTheme="minorHAnsi" w:cstheme="minorHAnsi"/>
          <w:b/>
          <w:bCs/>
          <w:u w:val="single"/>
          <w:lang w:eastAsia="en-US"/>
        </w:rPr>
        <w:t>Orientacyjne ilości i rodzaj przesyłek w okresie jednego roku:</w:t>
      </w:r>
    </w:p>
    <w:p w14:paraId="538A94D9" w14:textId="77777777" w:rsidR="008E3B51" w:rsidRPr="00FB2870" w:rsidRDefault="008E3B51" w:rsidP="008E3B51">
      <w:pPr>
        <w:spacing w:after="0"/>
        <w:jc w:val="both"/>
        <w:rPr>
          <w:rFonts w:eastAsiaTheme="minorHAnsi" w:cstheme="minorHAnsi"/>
          <w:lang w:eastAsia="en-US"/>
        </w:rPr>
      </w:pPr>
    </w:p>
    <w:tbl>
      <w:tblPr>
        <w:tblStyle w:val="Tabela-Siatka"/>
        <w:tblW w:w="8128" w:type="dxa"/>
        <w:tblInd w:w="562" w:type="dxa"/>
        <w:tblLook w:val="04A0" w:firstRow="1" w:lastRow="0" w:firstColumn="1" w:lastColumn="0" w:noHBand="0" w:noVBand="1"/>
      </w:tblPr>
      <w:tblGrid>
        <w:gridCol w:w="4585"/>
        <w:gridCol w:w="1403"/>
        <w:gridCol w:w="989"/>
        <w:gridCol w:w="1151"/>
      </w:tblGrid>
      <w:tr w:rsidR="00FB2870" w:rsidRPr="00FB2870" w14:paraId="1FE5FB5A" w14:textId="77777777" w:rsidTr="00A56CA1">
        <w:tc>
          <w:tcPr>
            <w:tcW w:w="4638" w:type="dxa"/>
          </w:tcPr>
          <w:p w14:paraId="331AB1C9" w14:textId="77777777" w:rsidR="00FB2870" w:rsidRPr="00FB2870" w:rsidRDefault="00FB2870" w:rsidP="00FB2870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RODZAJ PRZESYŁKI</w:t>
            </w:r>
          </w:p>
        </w:tc>
        <w:tc>
          <w:tcPr>
            <w:tcW w:w="1414" w:type="dxa"/>
          </w:tcPr>
          <w:p w14:paraId="22234CAE" w14:textId="77777777" w:rsidR="00FB2870" w:rsidRPr="00FB2870" w:rsidRDefault="00FB2870" w:rsidP="00FB2870">
            <w:pPr>
              <w:contextualSpacing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991" w:type="dxa"/>
          </w:tcPr>
          <w:p w14:paraId="3F416ED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CENA W ZŁ./SZT</w:t>
            </w:r>
          </w:p>
        </w:tc>
        <w:tc>
          <w:tcPr>
            <w:tcW w:w="1085" w:type="dxa"/>
          </w:tcPr>
          <w:p w14:paraId="4C4576A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WARTOŚĆ</w:t>
            </w:r>
          </w:p>
        </w:tc>
      </w:tr>
      <w:tr w:rsidR="00FB2870" w:rsidRPr="00FB2870" w14:paraId="05B3E8CA" w14:textId="77777777" w:rsidTr="00A56CA1">
        <w:tc>
          <w:tcPr>
            <w:tcW w:w="4638" w:type="dxa"/>
          </w:tcPr>
          <w:p w14:paraId="54E869E3" w14:textId="77777777" w:rsidR="00FB2870" w:rsidRPr="00FB2870" w:rsidRDefault="00FB2870" w:rsidP="00FB2870">
            <w:pPr>
              <w:contextualSpacing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  Przesyłki krajowe  zwykłe ekonomiczne:</w:t>
            </w:r>
          </w:p>
        </w:tc>
        <w:tc>
          <w:tcPr>
            <w:tcW w:w="3490" w:type="dxa"/>
            <w:gridSpan w:val="3"/>
          </w:tcPr>
          <w:p w14:paraId="7332FA2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6202806" w14:textId="77777777" w:rsidTr="00A56CA1">
        <w:tc>
          <w:tcPr>
            <w:tcW w:w="4638" w:type="dxa"/>
          </w:tcPr>
          <w:p w14:paraId="61F6447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3FAD036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3640</w:t>
            </w:r>
          </w:p>
        </w:tc>
        <w:tc>
          <w:tcPr>
            <w:tcW w:w="991" w:type="dxa"/>
          </w:tcPr>
          <w:p w14:paraId="6B67C05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64B69A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D88F6EA" w14:textId="77777777" w:rsidTr="00A56CA1">
        <w:tc>
          <w:tcPr>
            <w:tcW w:w="4638" w:type="dxa"/>
          </w:tcPr>
          <w:p w14:paraId="6AAC1C2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67C2252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150</w:t>
            </w:r>
          </w:p>
        </w:tc>
        <w:tc>
          <w:tcPr>
            <w:tcW w:w="991" w:type="dxa"/>
          </w:tcPr>
          <w:p w14:paraId="1E17CFC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28A451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6B13500" w14:textId="77777777" w:rsidTr="00A56CA1">
        <w:tc>
          <w:tcPr>
            <w:tcW w:w="4638" w:type="dxa"/>
          </w:tcPr>
          <w:p w14:paraId="6A75695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3558066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50</w:t>
            </w:r>
          </w:p>
        </w:tc>
        <w:tc>
          <w:tcPr>
            <w:tcW w:w="991" w:type="dxa"/>
          </w:tcPr>
          <w:p w14:paraId="0CF978C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99C27D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A623879" w14:textId="77777777" w:rsidTr="00A56CA1">
        <w:tc>
          <w:tcPr>
            <w:tcW w:w="8128" w:type="dxa"/>
            <w:gridSpan w:val="4"/>
          </w:tcPr>
          <w:p w14:paraId="674B2F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ECB4168" w14:textId="77777777" w:rsidTr="00A56CA1">
        <w:tc>
          <w:tcPr>
            <w:tcW w:w="4638" w:type="dxa"/>
          </w:tcPr>
          <w:p w14:paraId="351D46D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II  Przesyłki krajowe zwykłe priorytetowe:</w:t>
            </w:r>
          </w:p>
        </w:tc>
        <w:tc>
          <w:tcPr>
            <w:tcW w:w="1414" w:type="dxa"/>
          </w:tcPr>
          <w:p w14:paraId="3F33412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2C5764F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FC90B8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A6C310A" w14:textId="77777777" w:rsidTr="00A56CA1">
        <w:tc>
          <w:tcPr>
            <w:tcW w:w="4638" w:type="dxa"/>
          </w:tcPr>
          <w:p w14:paraId="6699220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1BBC1C7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50</w:t>
            </w:r>
          </w:p>
        </w:tc>
        <w:tc>
          <w:tcPr>
            <w:tcW w:w="991" w:type="dxa"/>
          </w:tcPr>
          <w:p w14:paraId="1A9C257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3554CB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59C2DA7" w14:textId="77777777" w:rsidTr="00A56CA1">
        <w:tc>
          <w:tcPr>
            <w:tcW w:w="4638" w:type="dxa"/>
          </w:tcPr>
          <w:p w14:paraId="13A2278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4ED2FFD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0FACE15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64DE6C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ABEDBA6" w14:textId="77777777" w:rsidTr="00A56CA1">
        <w:tc>
          <w:tcPr>
            <w:tcW w:w="4638" w:type="dxa"/>
          </w:tcPr>
          <w:p w14:paraId="739017C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79ED7C1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4</w:t>
            </w:r>
          </w:p>
        </w:tc>
        <w:tc>
          <w:tcPr>
            <w:tcW w:w="991" w:type="dxa"/>
          </w:tcPr>
          <w:p w14:paraId="26BE8B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6ECEFF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049074" w14:textId="77777777" w:rsidTr="00A56CA1">
        <w:tc>
          <w:tcPr>
            <w:tcW w:w="8128" w:type="dxa"/>
            <w:gridSpan w:val="4"/>
          </w:tcPr>
          <w:p w14:paraId="06FD788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D6E162" w14:textId="77777777" w:rsidTr="00A56CA1">
        <w:tc>
          <w:tcPr>
            <w:tcW w:w="4638" w:type="dxa"/>
          </w:tcPr>
          <w:p w14:paraId="5B2696B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III  Przesyłki krajowe polecone ekonomiczne:</w:t>
            </w:r>
          </w:p>
        </w:tc>
        <w:tc>
          <w:tcPr>
            <w:tcW w:w="1414" w:type="dxa"/>
          </w:tcPr>
          <w:p w14:paraId="726FFB5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4D0AEA5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6CBDC8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DDDEE37" w14:textId="77777777" w:rsidTr="00A56CA1">
        <w:tc>
          <w:tcPr>
            <w:tcW w:w="4638" w:type="dxa"/>
          </w:tcPr>
          <w:p w14:paraId="5F913FF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Format         S       do          500 g</w:t>
            </w:r>
          </w:p>
        </w:tc>
        <w:tc>
          <w:tcPr>
            <w:tcW w:w="1414" w:type="dxa"/>
          </w:tcPr>
          <w:p w14:paraId="6250F9D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100</w:t>
            </w:r>
          </w:p>
        </w:tc>
        <w:tc>
          <w:tcPr>
            <w:tcW w:w="991" w:type="dxa"/>
          </w:tcPr>
          <w:p w14:paraId="578DB6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28BF25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C92488A" w14:textId="77777777" w:rsidTr="00A56CA1">
        <w:tc>
          <w:tcPr>
            <w:tcW w:w="4638" w:type="dxa"/>
          </w:tcPr>
          <w:p w14:paraId="4608ADB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55FE0BF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0E1D060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A7DF0F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0256C89" w14:textId="77777777" w:rsidTr="00A56CA1">
        <w:tc>
          <w:tcPr>
            <w:tcW w:w="4638" w:type="dxa"/>
          </w:tcPr>
          <w:p w14:paraId="32F5A5E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14EB86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5</w:t>
            </w:r>
          </w:p>
        </w:tc>
        <w:tc>
          <w:tcPr>
            <w:tcW w:w="991" w:type="dxa"/>
          </w:tcPr>
          <w:p w14:paraId="2A921F0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2BD38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6F711A1" w14:textId="77777777" w:rsidTr="00A56CA1">
        <w:tc>
          <w:tcPr>
            <w:tcW w:w="4638" w:type="dxa"/>
          </w:tcPr>
          <w:p w14:paraId="66C1B50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IV Przesyłki krajowe polecone priorytetowe:</w:t>
            </w:r>
          </w:p>
        </w:tc>
        <w:tc>
          <w:tcPr>
            <w:tcW w:w="1414" w:type="dxa"/>
          </w:tcPr>
          <w:p w14:paraId="304BF2D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6CB0F0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AF93F1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5A9774" w14:textId="77777777" w:rsidTr="00A56CA1">
        <w:tc>
          <w:tcPr>
            <w:tcW w:w="4638" w:type="dxa"/>
          </w:tcPr>
          <w:p w14:paraId="6F6C1C0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217B86B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20</w:t>
            </w:r>
          </w:p>
        </w:tc>
        <w:tc>
          <w:tcPr>
            <w:tcW w:w="991" w:type="dxa"/>
          </w:tcPr>
          <w:p w14:paraId="1AEBFC6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A3F317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54D79E7" w14:textId="77777777" w:rsidTr="00A56CA1">
        <w:tc>
          <w:tcPr>
            <w:tcW w:w="4638" w:type="dxa"/>
          </w:tcPr>
          <w:p w14:paraId="4F70E71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395E9F7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7E1996D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6BB94F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0CD3419" w14:textId="77777777" w:rsidTr="00A56CA1">
        <w:tc>
          <w:tcPr>
            <w:tcW w:w="4638" w:type="dxa"/>
          </w:tcPr>
          <w:p w14:paraId="184A6E0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7A6BFDF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1BFA335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8903EF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F38AA39" w14:textId="77777777" w:rsidTr="00A56CA1">
        <w:tc>
          <w:tcPr>
            <w:tcW w:w="8128" w:type="dxa"/>
            <w:gridSpan w:val="4"/>
          </w:tcPr>
          <w:p w14:paraId="5B5461C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</w:tr>
      <w:tr w:rsidR="00FB2870" w:rsidRPr="00FB2870" w14:paraId="1DFDBA94" w14:textId="77777777" w:rsidTr="00A56CA1">
        <w:tc>
          <w:tcPr>
            <w:tcW w:w="4638" w:type="dxa"/>
          </w:tcPr>
          <w:p w14:paraId="4BE72D3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  Przesyłki krajowe  polecone ekonomiczne Z.P.O.:</w:t>
            </w:r>
          </w:p>
        </w:tc>
        <w:tc>
          <w:tcPr>
            <w:tcW w:w="1414" w:type="dxa"/>
          </w:tcPr>
          <w:p w14:paraId="7EBE6F0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6AB5FD1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2BA3E8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776DDA8" w14:textId="77777777" w:rsidTr="00A56CA1">
        <w:tc>
          <w:tcPr>
            <w:tcW w:w="4638" w:type="dxa"/>
          </w:tcPr>
          <w:p w14:paraId="29EB8B1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4C42FA1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15100</w:t>
            </w:r>
          </w:p>
        </w:tc>
        <w:tc>
          <w:tcPr>
            <w:tcW w:w="991" w:type="dxa"/>
          </w:tcPr>
          <w:p w14:paraId="408057C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6B48C4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DB46922" w14:textId="77777777" w:rsidTr="00A56CA1">
        <w:tc>
          <w:tcPr>
            <w:tcW w:w="4638" w:type="dxa"/>
          </w:tcPr>
          <w:p w14:paraId="162249A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3C705A6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450</w:t>
            </w:r>
          </w:p>
        </w:tc>
        <w:tc>
          <w:tcPr>
            <w:tcW w:w="991" w:type="dxa"/>
          </w:tcPr>
          <w:p w14:paraId="3D49910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A4E02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6A5064" w14:textId="77777777" w:rsidTr="00A56CA1">
        <w:tc>
          <w:tcPr>
            <w:tcW w:w="4638" w:type="dxa"/>
          </w:tcPr>
          <w:p w14:paraId="7D31F93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0132B83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70</w:t>
            </w:r>
          </w:p>
        </w:tc>
        <w:tc>
          <w:tcPr>
            <w:tcW w:w="991" w:type="dxa"/>
          </w:tcPr>
          <w:p w14:paraId="11D17B3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C71663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D120B35" w14:textId="77777777" w:rsidTr="00A56CA1">
        <w:tc>
          <w:tcPr>
            <w:tcW w:w="8128" w:type="dxa"/>
            <w:gridSpan w:val="4"/>
          </w:tcPr>
          <w:p w14:paraId="2A9ABB5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58A9570" w14:textId="77777777" w:rsidTr="00A56CA1">
        <w:tc>
          <w:tcPr>
            <w:tcW w:w="4638" w:type="dxa"/>
          </w:tcPr>
          <w:p w14:paraId="08449F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 Przesyłki krajowe  polecone</w:t>
            </w:r>
          </w:p>
          <w:p w14:paraId="4B99468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priorytetowe Z.P.O.:</w:t>
            </w:r>
          </w:p>
        </w:tc>
        <w:tc>
          <w:tcPr>
            <w:tcW w:w="1414" w:type="dxa"/>
          </w:tcPr>
          <w:p w14:paraId="5234B96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4BBA41B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3790A3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D970768" w14:textId="77777777" w:rsidTr="00A56CA1">
        <w:tc>
          <w:tcPr>
            <w:tcW w:w="4638" w:type="dxa"/>
          </w:tcPr>
          <w:p w14:paraId="0093A3E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S       do          500 g</w:t>
            </w:r>
          </w:p>
        </w:tc>
        <w:tc>
          <w:tcPr>
            <w:tcW w:w="1414" w:type="dxa"/>
          </w:tcPr>
          <w:p w14:paraId="3B03DA4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1DDA2F0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64A5B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3CA0CCE" w14:textId="77777777" w:rsidTr="00A56CA1">
        <w:tc>
          <w:tcPr>
            <w:tcW w:w="4638" w:type="dxa"/>
          </w:tcPr>
          <w:p w14:paraId="26041BB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M      do       1 000 g</w:t>
            </w:r>
          </w:p>
        </w:tc>
        <w:tc>
          <w:tcPr>
            <w:tcW w:w="1414" w:type="dxa"/>
          </w:tcPr>
          <w:p w14:paraId="06A8FE5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1C326A4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5233C3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FCF0C3E" w14:textId="77777777" w:rsidTr="00A56CA1">
        <w:tc>
          <w:tcPr>
            <w:tcW w:w="4638" w:type="dxa"/>
          </w:tcPr>
          <w:p w14:paraId="395A1A3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Format         L       do       2 000 g</w:t>
            </w:r>
          </w:p>
        </w:tc>
        <w:tc>
          <w:tcPr>
            <w:tcW w:w="1414" w:type="dxa"/>
          </w:tcPr>
          <w:p w14:paraId="50ACB8F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10</w:t>
            </w:r>
          </w:p>
        </w:tc>
        <w:tc>
          <w:tcPr>
            <w:tcW w:w="991" w:type="dxa"/>
          </w:tcPr>
          <w:p w14:paraId="0D401D9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FBCF9F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44F0871" w14:textId="77777777" w:rsidTr="00A56CA1">
        <w:tc>
          <w:tcPr>
            <w:tcW w:w="8128" w:type="dxa"/>
            <w:gridSpan w:val="4"/>
          </w:tcPr>
          <w:p w14:paraId="05157C5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581EE44" w14:textId="77777777" w:rsidTr="00A56CA1">
        <w:tc>
          <w:tcPr>
            <w:tcW w:w="4638" w:type="dxa"/>
          </w:tcPr>
          <w:p w14:paraId="0703A8C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VII  Przesyłki zagraniczne zwykłe</w:t>
            </w:r>
          </w:p>
          <w:p w14:paraId="326F7A7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     priorytetowe:</w:t>
            </w:r>
          </w:p>
        </w:tc>
        <w:tc>
          <w:tcPr>
            <w:tcW w:w="1414" w:type="dxa"/>
          </w:tcPr>
          <w:p w14:paraId="79BA17B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732BFA2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92898F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6CCD1F8" w14:textId="77777777" w:rsidTr="00A56CA1">
        <w:tc>
          <w:tcPr>
            <w:tcW w:w="4638" w:type="dxa"/>
          </w:tcPr>
          <w:p w14:paraId="049E5DC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4A80622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A432BB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DF1F83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CF26DD8" w14:textId="77777777" w:rsidTr="00A56CA1">
        <w:tc>
          <w:tcPr>
            <w:tcW w:w="4638" w:type="dxa"/>
          </w:tcPr>
          <w:p w14:paraId="7A9FC51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E593E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20B2319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F24418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A37036D" w14:textId="77777777" w:rsidTr="00A56CA1">
        <w:tc>
          <w:tcPr>
            <w:tcW w:w="4638" w:type="dxa"/>
          </w:tcPr>
          <w:p w14:paraId="5B6CF24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7D975C7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2C336C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619E37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22BC8DE" w14:textId="77777777" w:rsidTr="00A56CA1">
        <w:tc>
          <w:tcPr>
            <w:tcW w:w="4638" w:type="dxa"/>
          </w:tcPr>
          <w:p w14:paraId="1B8B27D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VIII  Przesyłki zagraniczne polecone</w:t>
            </w:r>
          </w:p>
          <w:p w14:paraId="44853D2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priorytetowe:</w:t>
            </w:r>
          </w:p>
        </w:tc>
        <w:tc>
          <w:tcPr>
            <w:tcW w:w="1414" w:type="dxa"/>
          </w:tcPr>
          <w:p w14:paraId="4686C76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3B9D490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C08A19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549A46B" w14:textId="77777777" w:rsidTr="00A56CA1">
        <w:tc>
          <w:tcPr>
            <w:tcW w:w="4638" w:type="dxa"/>
          </w:tcPr>
          <w:p w14:paraId="34C5AA2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1E1DEBF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7CF2535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774576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F8AE930" w14:textId="77777777" w:rsidTr="00A56CA1">
        <w:tc>
          <w:tcPr>
            <w:tcW w:w="4638" w:type="dxa"/>
          </w:tcPr>
          <w:p w14:paraId="353577E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F45F3B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19A3BE0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9BDC06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DC42326" w14:textId="77777777" w:rsidTr="00A56CA1">
        <w:tc>
          <w:tcPr>
            <w:tcW w:w="4638" w:type="dxa"/>
          </w:tcPr>
          <w:p w14:paraId="4F20B2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3459827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68EFE31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55E859A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923FC19" w14:textId="77777777" w:rsidTr="00A56CA1">
        <w:tc>
          <w:tcPr>
            <w:tcW w:w="4638" w:type="dxa"/>
          </w:tcPr>
          <w:p w14:paraId="78854D9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IX Przesyłki zagraniczne  polecone</w:t>
            </w:r>
          </w:p>
          <w:p w14:paraId="2CFE32B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 xml:space="preserve">       priorytetowe Z.P.O.:</w:t>
            </w:r>
          </w:p>
        </w:tc>
        <w:tc>
          <w:tcPr>
            <w:tcW w:w="1414" w:type="dxa"/>
          </w:tcPr>
          <w:p w14:paraId="2EED15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585D2E6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09CAEE4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9D1E248" w14:textId="77777777" w:rsidTr="00A56CA1">
        <w:tc>
          <w:tcPr>
            <w:tcW w:w="4638" w:type="dxa"/>
          </w:tcPr>
          <w:p w14:paraId="048B30E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do 50 g</w:t>
            </w:r>
          </w:p>
        </w:tc>
        <w:tc>
          <w:tcPr>
            <w:tcW w:w="1414" w:type="dxa"/>
          </w:tcPr>
          <w:p w14:paraId="6AE02EB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30</w:t>
            </w:r>
          </w:p>
        </w:tc>
        <w:tc>
          <w:tcPr>
            <w:tcW w:w="991" w:type="dxa"/>
          </w:tcPr>
          <w:p w14:paraId="356CF4AE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FF374B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1820DBEA" w14:textId="77777777" w:rsidTr="00A56CA1">
        <w:tc>
          <w:tcPr>
            <w:tcW w:w="4638" w:type="dxa"/>
          </w:tcPr>
          <w:p w14:paraId="73E2AE6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50 g - do   100 g</w:t>
            </w:r>
          </w:p>
        </w:tc>
        <w:tc>
          <w:tcPr>
            <w:tcW w:w="1414" w:type="dxa"/>
          </w:tcPr>
          <w:p w14:paraId="5A49CC3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5C2BF3F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1D3BBF2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4862B926" w14:textId="77777777" w:rsidTr="00A56CA1">
        <w:tc>
          <w:tcPr>
            <w:tcW w:w="4638" w:type="dxa"/>
          </w:tcPr>
          <w:p w14:paraId="3FA161F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    od 100 g - do  350 g</w:t>
            </w:r>
          </w:p>
        </w:tc>
        <w:tc>
          <w:tcPr>
            <w:tcW w:w="1414" w:type="dxa"/>
          </w:tcPr>
          <w:p w14:paraId="2D3754C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EBB7A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9493428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6181BFD9" w14:textId="77777777" w:rsidTr="00A56CA1">
        <w:tc>
          <w:tcPr>
            <w:tcW w:w="4638" w:type="dxa"/>
          </w:tcPr>
          <w:p w14:paraId="0E65BFBF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X Paczki</w:t>
            </w:r>
          </w:p>
        </w:tc>
        <w:tc>
          <w:tcPr>
            <w:tcW w:w="1414" w:type="dxa"/>
          </w:tcPr>
          <w:p w14:paraId="7079CD2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991" w:type="dxa"/>
          </w:tcPr>
          <w:p w14:paraId="0BC0A8B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7916247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4289023" w14:textId="77777777" w:rsidTr="00A56CA1">
        <w:tc>
          <w:tcPr>
            <w:tcW w:w="4638" w:type="dxa"/>
            <w:vAlign w:val="bottom"/>
          </w:tcPr>
          <w:p w14:paraId="49A9C0C6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105536B6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020A23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1 kg do 2 kg</w:t>
            </w:r>
          </w:p>
        </w:tc>
        <w:tc>
          <w:tcPr>
            <w:tcW w:w="1414" w:type="dxa"/>
          </w:tcPr>
          <w:p w14:paraId="6EFCA18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3</w:t>
            </w:r>
          </w:p>
        </w:tc>
        <w:tc>
          <w:tcPr>
            <w:tcW w:w="991" w:type="dxa"/>
          </w:tcPr>
          <w:p w14:paraId="6CCD87B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3DB6E7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33FAB218" w14:textId="77777777" w:rsidTr="00A56CA1">
        <w:tc>
          <w:tcPr>
            <w:tcW w:w="4638" w:type="dxa"/>
            <w:vAlign w:val="bottom"/>
          </w:tcPr>
          <w:p w14:paraId="132E5334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733AA61D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2C03978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2 kg do 5 kg</w:t>
            </w:r>
          </w:p>
        </w:tc>
        <w:tc>
          <w:tcPr>
            <w:tcW w:w="1414" w:type="dxa"/>
          </w:tcPr>
          <w:p w14:paraId="20D8EC96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2</w:t>
            </w:r>
          </w:p>
        </w:tc>
        <w:tc>
          <w:tcPr>
            <w:tcW w:w="991" w:type="dxa"/>
          </w:tcPr>
          <w:p w14:paraId="3CF9087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8C68C2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00ADE844" w14:textId="77777777" w:rsidTr="00A56CA1">
        <w:tc>
          <w:tcPr>
            <w:tcW w:w="4638" w:type="dxa"/>
            <w:vAlign w:val="bottom"/>
          </w:tcPr>
          <w:p w14:paraId="338F0FF9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Paczki pocztowe ekonomiczne: </w:t>
            </w:r>
          </w:p>
          <w:p w14:paraId="1264815A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Gabaryt A</w:t>
            </w:r>
          </w:p>
          <w:p w14:paraId="34C30E8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5 kg do 10 kg</w:t>
            </w:r>
          </w:p>
        </w:tc>
        <w:tc>
          <w:tcPr>
            <w:tcW w:w="1414" w:type="dxa"/>
          </w:tcPr>
          <w:p w14:paraId="3A10E05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lastRenderedPageBreak/>
              <w:t>1</w:t>
            </w:r>
          </w:p>
        </w:tc>
        <w:tc>
          <w:tcPr>
            <w:tcW w:w="991" w:type="dxa"/>
          </w:tcPr>
          <w:p w14:paraId="347AD27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6E8811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58CA7176" w14:textId="77777777" w:rsidTr="00A56CA1">
        <w:tc>
          <w:tcPr>
            <w:tcW w:w="4638" w:type="dxa"/>
            <w:vAlign w:val="bottom"/>
          </w:tcPr>
          <w:p w14:paraId="2AB42B0E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5CE49453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481B0A22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 xml:space="preserve">- ponad 1 kg do 2 kg </w:t>
            </w:r>
          </w:p>
        </w:tc>
        <w:tc>
          <w:tcPr>
            <w:tcW w:w="1414" w:type="dxa"/>
          </w:tcPr>
          <w:p w14:paraId="50609191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23BD520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30FF9A2D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2F9BCADE" w14:textId="77777777" w:rsidTr="00A56CA1">
        <w:tc>
          <w:tcPr>
            <w:tcW w:w="4638" w:type="dxa"/>
            <w:vAlign w:val="bottom"/>
          </w:tcPr>
          <w:p w14:paraId="696F8FC9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77EBFCA4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33480BA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2 kg do 5 kg</w:t>
            </w:r>
          </w:p>
        </w:tc>
        <w:tc>
          <w:tcPr>
            <w:tcW w:w="1414" w:type="dxa"/>
          </w:tcPr>
          <w:p w14:paraId="6DF2D044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172CA410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269EA7E5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7F1DEB8" w14:textId="77777777" w:rsidTr="00A56CA1">
        <w:tc>
          <w:tcPr>
            <w:tcW w:w="4638" w:type="dxa"/>
            <w:vAlign w:val="bottom"/>
          </w:tcPr>
          <w:p w14:paraId="06C275DA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Paczki pocztowe priorytetowe:</w:t>
            </w:r>
          </w:p>
          <w:p w14:paraId="6D2FDF72" w14:textId="77777777" w:rsidR="00FB2870" w:rsidRPr="00FB2870" w:rsidRDefault="00FB2870" w:rsidP="00FB2870">
            <w:pPr>
              <w:ind w:left="60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Gabaryt A</w:t>
            </w:r>
          </w:p>
          <w:p w14:paraId="609BFB8B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- ponad 5 kg do 10 kg</w:t>
            </w:r>
          </w:p>
        </w:tc>
        <w:tc>
          <w:tcPr>
            <w:tcW w:w="1414" w:type="dxa"/>
          </w:tcPr>
          <w:p w14:paraId="5B0DE95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</w:t>
            </w:r>
          </w:p>
        </w:tc>
        <w:tc>
          <w:tcPr>
            <w:tcW w:w="991" w:type="dxa"/>
          </w:tcPr>
          <w:p w14:paraId="3FBCE939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4D4C01E7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  <w:tr w:rsidR="00FB2870" w:rsidRPr="00FB2870" w14:paraId="7EC5775D" w14:textId="77777777" w:rsidTr="00A56CA1">
        <w:tc>
          <w:tcPr>
            <w:tcW w:w="4638" w:type="dxa"/>
          </w:tcPr>
          <w:p w14:paraId="14FA36F3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b/>
                <w:bCs/>
                <w:lang w:eastAsia="en-US"/>
              </w:rPr>
            </w:pPr>
            <w:r w:rsidRPr="00FB2870">
              <w:rPr>
                <w:rFonts w:eastAsia="Times New Roman" w:cstheme="minorHAnsi"/>
                <w:b/>
                <w:bCs/>
                <w:lang w:eastAsia="en-US"/>
              </w:rPr>
              <w:t>Ogółem suma opłat</w:t>
            </w:r>
          </w:p>
        </w:tc>
        <w:tc>
          <w:tcPr>
            <w:tcW w:w="1414" w:type="dxa"/>
          </w:tcPr>
          <w:p w14:paraId="5E1AD6B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  <w:r w:rsidRPr="00FB2870">
              <w:rPr>
                <w:rFonts w:eastAsia="Times New Roman" w:cstheme="minorHAnsi"/>
                <w:lang w:eastAsia="en-US"/>
              </w:rPr>
              <w:t>19777</w:t>
            </w:r>
          </w:p>
        </w:tc>
        <w:tc>
          <w:tcPr>
            <w:tcW w:w="991" w:type="dxa"/>
          </w:tcPr>
          <w:p w14:paraId="46AC7E3A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1085" w:type="dxa"/>
          </w:tcPr>
          <w:p w14:paraId="62735D0C" w14:textId="77777777" w:rsidR="00FB2870" w:rsidRPr="00FB2870" w:rsidRDefault="00FB2870" w:rsidP="00FB2870">
            <w:pPr>
              <w:contextualSpacing/>
              <w:jc w:val="both"/>
              <w:rPr>
                <w:rFonts w:eastAsia="Times New Roman" w:cstheme="minorHAnsi"/>
                <w:lang w:eastAsia="en-US"/>
              </w:rPr>
            </w:pPr>
          </w:p>
        </w:tc>
      </w:tr>
    </w:tbl>
    <w:p w14:paraId="78811B19" w14:textId="77777777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S</w:t>
      </w:r>
      <w:r w:rsidRPr="00FB2870">
        <w:rPr>
          <w:rFonts w:eastAsiaTheme="minorHAnsi" w:cstheme="minorHAnsi"/>
          <w:i/>
          <w:color w:val="000000"/>
          <w:lang w:eastAsia="en-US"/>
        </w:rPr>
        <w:t xml:space="preserve"> – maksymalny wymiar koperty C5 (160 × 230 x 20mm), maksymalna waga do 500g, </w:t>
      </w:r>
    </w:p>
    <w:p w14:paraId="0BF99914" w14:textId="77777777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M</w:t>
      </w:r>
      <w:r w:rsidRPr="00FB2870">
        <w:rPr>
          <w:rFonts w:eastAsiaTheme="minorHAnsi" w:cstheme="minorHAnsi"/>
          <w:i/>
          <w:color w:val="000000"/>
          <w:lang w:eastAsia="en-US"/>
        </w:rPr>
        <w:t xml:space="preserve"> – maksymalny wymiar koperty C4 (230 × 325 x 20mm), maksymalna waga do 1000g, </w:t>
      </w:r>
    </w:p>
    <w:p w14:paraId="017245A6" w14:textId="7A10C5B5" w:rsidR="00FB2870" w:rsidRPr="00FB2870" w:rsidRDefault="00FB2870" w:rsidP="00426C1A">
      <w:pPr>
        <w:suppressAutoHyphens/>
        <w:autoSpaceDE w:val="0"/>
        <w:autoSpaceDN w:val="0"/>
        <w:ind w:left="567"/>
        <w:jc w:val="both"/>
        <w:textAlignment w:val="baseline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b/>
          <w:bCs/>
          <w:i/>
          <w:color w:val="000000"/>
          <w:lang w:eastAsia="en-US"/>
        </w:rPr>
        <w:t>L</w:t>
      </w:r>
      <w:r w:rsidR="00426C1A">
        <w:rPr>
          <w:rFonts w:eastAsiaTheme="minorHAnsi" w:cstheme="minorHAnsi"/>
          <w:b/>
          <w:bCs/>
          <w:i/>
          <w:color w:val="000000"/>
          <w:lang w:eastAsia="en-US"/>
        </w:rPr>
        <w:t xml:space="preserve"> </w:t>
      </w:r>
      <w:r w:rsidRPr="00FB2870">
        <w:rPr>
          <w:rFonts w:eastAsiaTheme="minorHAnsi" w:cstheme="minorHAnsi"/>
          <w:i/>
          <w:color w:val="000000"/>
          <w:lang w:eastAsia="en-US"/>
        </w:rPr>
        <w:t>– ponad wymiar koperty C4, (suma wymiarów nie może przekroczyć 900mm, przy czym długość nie może być, większa niż 600mm), maksymalna waga do 2000g</w:t>
      </w:r>
    </w:p>
    <w:p w14:paraId="76E6BFEB" w14:textId="77777777" w:rsid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28. Zamawiający przyjął ilość przesyłek/usług każdego rodzaju w oparciu o analizę swoich potrzeb. Zestawienie wykazu przesyłek/usług oraz opłaty za odbiór przez Wykonawcę przesyłek od Zamawiającego stanowią podstawę do wyliczenia przez Wykonawcę ceny oferty.</w:t>
      </w:r>
    </w:p>
    <w:p w14:paraId="0451203C" w14:textId="5DFAEEBF" w:rsidR="00FB2870" w:rsidRP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29. Zamawiający nie jest zobowiązany do zrealizowania w 100 % podanych ilości przesyłek/usług. Rodzaj i ilości przesyłek/usług są szacunkowe i będą ulegały zmianie w zależności od faktycznych potrzeb Zamawiającego, na co</w:t>
      </w:r>
      <w:r>
        <w:rPr>
          <w:rFonts w:eastAsiaTheme="minorHAnsi" w:cstheme="minorHAnsi"/>
          <w:lang w:eastAsia="en-US"/>
        </w:rPr>
        <w:t xml:space="preserve"> </w:t>
      </w:r>
      <w:r w:rsidRPr="00FB2870">
        <w:rPr>
          <w:rFonts w:eastAsiaTheme="minorHAnsi" w:cstheme="minorHAnsi"/>
          <w:lang w:eastAsia="en-US"/>
        </w:rPr>
        <w:t>Wykonawca wyraża zgodę i nie będzie dochodził roszczeń z tytułu zmian rodzajowych i ilościowych w trakcie realizacji przedmiotu zamówienia. Faktyczne ilości realizowanych przesyłek/usług mogą odbiegać od podanych szacunkowych ilości.</w:t>
      </w:r>
    </w:p>
    <w:p w14:paraId="374E56D1" w14:textId="769AD5C2" w:rsidR="00FB2870" w:rsidRPr="00FB2870" w:rsidRDefault="00FB2870" w:rsidP="00FB2870">
      <w:pPr>
        <w:spacing w:after="0"/>
        <w:ind w:left="284" w:hanging="284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30. Podstawę do wyliczenia całkowitej wartości oferty stanowi cena w zł za przesyłki wymienione w pkt 2</w:t>
      </w:r>
      <w:r w:rsidR="0040505A">
        <w:rPr>
          <w:rFonts w:eastAsiaTheme="minorHAnsi" w:cstheme="minorHAnsi"/>
          <w:lang w:eastAsia="en-US"/>
        </w:rPr>
        <w:t>7</w:t>
      </w:r>
      <w:r w:rsidRPr="00FB2870">
        <w:rPr>
          <w:rFonts w:eastAsiaTheme="minorHAnsi" w:cstheme="minorHAnsi"/>
          <w:lang w:eastAsia="en-US"/>
        </w:rPr>
        <w:t xml:space="preserve"> obowiązujące na dzień </w:t>
      </w:r>
      <w:r w:rsidR="0076106F">
        <w:rPr>
          <w:rFonts w:eastAsiaTheme="minorHAnsi" w:cstheme="minorHAnsi"/>
          <w:lang w:eastAsia="en-US"/>
        </w:rPr>
        <w:t>30</w:t>
      </w:r>
      <w:r w:rsidRPr="00FB2870">
        <w:rPr>
          <w:rFonts w:eastAsiaTheme="minorHAnsi" w:cstheme="minorHAnsi"/>
          <w:lang w:eastAsia="en-US"/>
        </w:rPr>
        <w:t xml:space="preserve"> listopada 2022 r.</w:t>
      </w:r>
    </w:p>
    <w:p w14:paraId="53657288" w14:textId="77777777" w:rsidR="00FB2870" w:rsidRPr="00FB2870" w:rsidRDefault="00FB2870" w:rsidP="00FB2870">
      <w:pPr>
        <w:spacing w:after="0"/>
        <w:jc w:val="both"/>
        <w:rPr>
          <w:rFonts w:eastAsiaTheme="minorHAnsi" w:cstheme="minorHAnsi"/>
          <w:lang w:eastAsia="en-US"/>
        </w:rPr>
      </w:pPr>
    </w:p>
    <w:p w14:paraId="75E7A6BE" w14:textId="77777777" w:rsidR="00FB2870" w:rsidRPr="00FB2870" w:rsidRDefault="00FB2870" w:rsidP="00FB2870">
      <w:pPr>
        <w:keepNext/>
        <w:keepLines/>
        <w:widowControl w:val="0"/>
        <w:tabs>
          <w:tab w:val="left" w:pos="368"/>
        </w:tabs>
        <w:spacing w:after="260"/>
        <w:ind w:left="360"/>
        <w:jc w:val="center"/>
        <w:outlineLvl w:val="0"/>
        <w:rPr>
          <w:rFonts w:eastAsia="Arial Narrow" w:cstheme="minorHAnsi"/>
          <w:b/>
          <w:bCs/>
          <w:lang w:eastAsia="en-US"/>
        </w:rPr>
      </w:pPr>
      <w:r w:rsidRPr="00FB2870">
        <w:rPr>
          <w:rFonts w:eastAsia="Arial Narrow" w:cstheme="minorHAnsi"/>
          <w:b/>
          <w:bCs/>
          <w:lang w:eastAsia="en-US"/>
        </w:rPr>
        <w:t>II Istotne postanowienia umowy w sprawie zamówienia publicznego</w:t>
      </w:r>
    </w:p>
    <w:p w14:paraId="52F4B0F9" w14:textId="77777777" w:rsidR="00FB2870" w:rsidRPr="00FB2870" w:rsidRDefault="00FB2870" w:rsidP="00A71857">
      <w:pPr>
        <w:keepNext/>
        <w:keepLines/>
        <w:widowControl w:val="0"/>
        <w:spacing w:after="0"/>
        <w:jc w:val="both"/>
        <w:outlineLvl w:val="0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Oferta wykonawcy winna zawierać proponowany wzór umowy zobowiązującej do świadczenia usług będących przedmiotem zamówienia. Ze względu na szybkość i sprawność realizacji zamówienia, wzór powinien być sporządzony w sposób wyczerpujący i kompletny, umożliwiający niezwłoczne podpisanie umowy. Informacje zawarte w opisie przedmiotu zamówienia  powinny znaleźć się w projekcie umowy zaproponowanym przez wykonawcę. Projekt umowy  należy dołączyć do oferty.</w:t>
      </w:r>
    </w:p>
    <w:p w14:paraId="05B5B1A2" w14:textId="25057CBF" w:rsidR="00FB2870" w:rsidRPr="00FB2870" w:rsidRDefault="00FB2870" w:rsidP="00A718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</w:rPr>
      </w:pPr>
      <w:r w:rsidRPr="00FB2870">
        <w:rPr>
          <w:rFonts w:eastAsia="Arial Unicode MS" w:cstheme="minorHAnsi"/>
        </w:rPr>
        <w:t>Wykonawca odpowiada za nie wykonanie lub nienależyte wykonanie usługi pocztowej chyba, że nastąpiło to wskutek siły wyższej niezależnej od Wykonawcy i niemożliwej do przewidzenia.</w:t>
      </w:r>
    </w:p>
    <w:p w14:paraId="20920EDE" w14:textId="7EA60194" w:rsidR="00FB2870" w:rsidRPr="00FB2870" w:rsidRDefault="00FB2870" w:rsidP="00A718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</w:rPr>
      </w:pPr>
      <w:r w:rsidRPr="00FB2870">
        <w:rPr>
          <w:rFonts w:eastAsia="Arial Unicode MS" w:cstheme="minorHAnsi"/>
          <w:color w:val="000000"/>
        </w:rPr>
        <w:t>Wykonawca ponosi wobec Zamawiającego pełną odpowiedzialność za wszelkie czynności, których wykonanie powierzył Podwykonawcom. Wykonawca odpowiada za działania i zaniechania Podwykonawców jak za własne.</w:t>
      </w:r>
    </w:p>
    <w:p w14:paraId="1E510D3A" w14:textId="77777777" w:rsidR="00FB2870" w:rsidRPr="00FB2870" w:rsidRDefault="00FB2870" w:rsidP="00A71857">
      <w:pPr>
        <w:keepNext/>
        <w:keepLines/>
        <w:widowControl w:val="0"/>
        <w:spacing w:after="0"/>
        <w:jc w:val="both"/>
        <w:outlineLvl w:val="0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lastRenderedPageBreak/>
        <w:t>Strony postanawiają, że w przypadku nienależytego wykonania postanowień umowy  bądź odstąpienia od wykonania umowy obowiązującą formą odszkodowania będą kary umowne naliczane w następujących przypadkach:</w:t>
      </w:r>
    </w:p>
    <w:p w14:paraId="267534DA" w14:textId="77777777" w:rsidR="00FB2870" w:rsidRPr="00FB2870" w:rsidRDefault="00FB2870" w:rsidP="00A71857">
      <w:pPr>
        <w:widowControl w:val="0"/>
        <w:tabs>
          <w:tab w:val="left" w:pos="884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Wykonawca zapłaci Zamawiającemu karę w wysokości</w:t>
      </w:r>
      <w:r w:rsidRPr="00FB2870">
        <w:rPr>
          <w:rFonts w:eastAsia="Arial Narrow" w:cstheme="minorHAnsi"/>
          <w:b/>
          <w:bCs/>
          <w:lang w:eastAsia="en-US"/>
        </w:rPr>
        <w:t xml:space="preserve"> </w:t>
      </w:r>
      <w:r w:rsidRPr="00FB2870">
        <w:rPr>
          <w:rFonts w:eastAsia="Arial Narrow" w:cstheme="minorHAnsi"/>
          <w:lang w:eastAsia="en-US"/>
        </w:rPr>
        <w:t>10% całkowitego wynagrodzenia zawartego</w:t>
      </w:r>
      <w:r w:rsidRPr="00FB2870">
        <w:rPr>
          <w:rFonts w:eastAsia="Arial Narrow" w:cstheme="minorHAnsi"/>
          <w:lang w:eastAsia="en-US"/>
        </w:rPr>
        <w:br/>
        <w:t>w formularzu  cenowym w przypadku odstąpienia od wykonania umowy.</w:t>
      </w:r>
    </w:p>
    <w:p w14:paraId="79794D4F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 xml:space="preserve">Każda ze stron może wypowiedzieć  umowę z trzymiesięcznym okresem wypowiedzenia. </w:t>
      </w:r>
    </w:p>
    <w:p w14:paraId="3D97BFCB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>Rozwiązanie umowy przed terminem może nastąpić w przypadkach:</w:t>
      </w:r>
    </w:p>
    <w:p w14:paraId="01A59E66" w14:textId="77777777" w:rsidR="00FB2870" w:rsidRPr="00FB2870" w:rsidRDefault="00FB2870" w:rsidP="00FB2870">
      <w:pPr>
        <w:widowControl w:val="0"/>
        <w:tabs>
          <w:tab w:val="left" w:pos="360"/>
        </w:tabs>
        <w:spacing w:after="0"/>
        <w:jc w:val="both"/>
        <w:rPr>
          <w:rFonts w:eastAsia="Arial Narrow" w:cstheme="minorHAnsi"/>
          <w:lang w:eastAsia="en-US"/>
        </w:rPr>
      </w:pPr>
      <w:r w:rsidRPr="00FB2870">
        <w:rPr>
          <w:rFonts w:eastAsia="Arial Narrow" w:cstheme="minorHAnsi"/>
          <w:lang w:eastAsia="en-US"/>
        </w:rPr>
        <w:t xml:space="preserve">- likwidacji punktu obsługi klienta,   </w:t>
      </w:r>
    </w:p>
    <w:p w14:paraId="5CCE3908" w14:textId="7E55D319" w:rsidR="00844485" w:rsidRDefault="00FB2870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  <w:r w:rsidRPr="00FB2870">
        <w:rPr>
          <w:rFonts w:eastAsiaTheme="minorHAnsi" w:cstheme="minorHAnsi"/>
          <w:lang w:eastAsia="en-US"/>
        </w:rPr>
        <w:t>- w przypadku nie zachowania warunków postanowień umowy.</w:t>
      </w:r>
    </w:p>
    <w:p w14:paraId="3D9050A1" w14:textId="647215B7" w:rsidR="00AC2A62" w:rsidRDefault="00AC2A62" w:rsidP="00FB2870">
      <w:pPr>
        <w:widowControl w:val="0"/>
        <w:snapToGrid w:val="0"/>
        <w:spacing w:after="0"/>
        <w:jc w:val="both"/>
        <w:rPr>
          <w:rFonts w:eastAsiaTheme="minorHAnsi" w:cstheme="minorHAnsi"/>
          <w:lang w:eastAsia="en-US"/>
        </w:rPr>
      </w:pPr>
    </w:p>
    <w:p w14:paraId="33E1B684" w14:textId="2CD12B74" w:rsidR="00AC2A62" w:rsidRPr="00AC2A62" w:rsidRDefault="00AC2A62" w:rsidP="00AC2A62">
      <w:pPr>
        <w:widowControl w:val="0"/>
        <w:snapToGrid w:val="0"/>
        <w:spacing w:after="0"/>
        <w:jc w:val="both"/>
        <w:rPr>
          <w:rFonts w:eastAsia="Times New Roman" w:cstheme="minorHAnsi"/>
        </w:rPr>
      </w:pPr>
      <w:r w:rsidRPr="00AC2A62">
        <w:rPr>
          <w:rFonts w:eastAsia="Times New Roman" w:cstheme="minorHAnsi"/>
        </w:rPr>
        <w:t xml:space="preserve">Zamawiający przewiduje możliwość zmian postanowień zawartej umowy (tzw. zmiany kontraktowe w oparciu o art. 455 ust. 1 pkt 1 ustawy Pzp) w stosunku do treści oferty, na podstawie której dokonano wyboru wykonawcy, zgodnie z warunkami zawartymi w projektowanych postanowieniach umowy w sprawie zamówienia publicznego - Załącznik nr 1 do SWZ. </w:t>
      </w:r>
    </w:p>
    <w:p w14:paraId="07B7F689" w14:textId="519A946E" w:rsidR="00AC2A62" w:rsidRPr="00AC2A62" w:rsidRDefault="00AC2A62" w:rsidP="00AC2A62">
      <w:pPr>
        <w:widowControl w:val="0"/>
        <w:snapToGrid w:val="0"/>
        <w:spacing w:after="0"/>
        <w:jc w:val="both"/>
        <w:rPr>
          <w:rFonts w:eastAsia="Times New Roman" w:cstheme="minorHAnsi"/>
        </w:rPr>
      </w:pPr>
      <w:r w:rsidRPr="00AC2A62">
        <w:rPr>
          <w:rFonts w:eastAsia="Times New Roman" w:cstheme="minorHAnsi"/>
        </w:rPr>
        <w:t>Zmiana umowy może także nastąpić w przypadkach, o których mowa w art. 455 ust. 1 pkt 2-4 oraz ust. 2 ustawy Pzp.</w:t>
      </w:r>
    </w:p>
    <w:sectPr w:rsidR="00AC2A62" w:rsidRPr="00AC2A62" w:rsidSect="009E5CF1">
      <w:headerReference w:type="default" r:id="rId7"/>
      <w:footerReference w:type="default" r:id="rId8"/>
      <w:pgSz w:w="11906" w:h="16838" w:code="9"/>
      <w:pgMar w:top="1134" w:right="1134" w:bottom="993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2EFB" w14:textId="77777777" w:rsidR="00B32BCC" w:rsidRDefault="00B32BCC" w:rsidP="0083490F">
      <w:pPr>
        <w:spacing w:after="0" w:line="240" w:lineRule="auto"/>
      </w:pPr>
      <w:r>
        <w:separator/>
      </w:r>
    </w:p>
  </w:endnote>
  <w:endnote w:type="continuationSeparator" w:id="0">
    <w:p w14:paraId="468F3A59" w14:textId="77777777" w:rsidR="00B32BCC" w:rsidRDefault="00B32BCC" w:rsidP="008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0712601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A4E24" w14:textId="388A01EE" w:rsidR="00E328AB" w:rsidRPr="00E328AB" w:rsidRDefault="00E328A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328AB">
              <w:rPr>
                <w:rFonts w:asciiTheme="minorHAnsi" w:hAnsiTheme="minorHAnsi" w:cstheme="minorHAnsi"/>
              </w:rPr>
              <w:t xml:space="preserve">Strona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328AB">
              <w:rPr>
                <w:rFonts w:asciiTheme="minorHAnsi" w:hAnsiTheme="minorHAnsi" w:cstheme="minorHAnsi"/>
              </w:rPr>
              <w:t xml:space="preserve"> z 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328A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328AB">
              <w:rPr>
                <w:rFonts w:asciiTheme="minorHAnsi" w:hAnsiTheme="minorHAnsi" w:cstheme="minorHAnsi"/>
                <w:b/>
                <w:bCs/>
              </w:rPr>
              <w:t>2</w:t>
            </w:r>
            <w:r w:rsidRPr="00E328A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9C2C610" w14:textId="77777777" w:rsidR="00C535B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FBBF" w14:textId="77777777" w:rsidR="00B32BCC" w:rsidRDefault="00B32BCC" w:rsidP="0083490F">
      <w:pPr>
        <w:spacing w:after="0" w:line="240" w:lineRule="auto"/>
      </w:pPr>
      <w:r>
        <w:separator/>
      </w:r>
    </w:p>
  </w:footnote>
  <w:footnote w:type="continuationSeparator" w:id="0">
    <w:p w14:paraId="33F34FB7" w14:textId="77777777" w:rsidR="00B32BCC" w:rsidRDefault="00B32BCC" w:rsidP="0083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A1C" w14:textId="77777777" w:rsidR="00C535B5" w:rsidRDefault="00000000" w:rsidP="00C535B5">
    <w:pPr>
      <w:pStyle w:val="Nagwek"/>
      <w:tabs>
        <w:tab w:val="clear" w:pos="4536"/>
        <w:tab w:val="clear" w:pos="9072"/>
      </w:tabs>
    </w:pPr>
  </w:p>
  <w:p w14:paraId="66AD2E6B" w14:textId="12B963A7" w:rsidR="00C535B5" w:rsidRPr="00A70AF0" w:rsidRDefault="00350970" w:rsidP="00C535B5">
    <w:pPr>
      <w:pStyle w:val="Nagwek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A70AF0">
      <w:rPr>
        <w:rFonts w:asciiTheme="minorHAnsi" w:hAnsiTheme="minorHAnsi" w:cstheme="minorHAnsi"/>
      </w:rPr>
      <w:t>Znak sprawy: ZP.271.</w:t>
    </w:r>
    <w:r w:rsidR="009125EB">
      <w:rPr>
        <w:rFonts w:asciiTheme="minorHAnsi" w:hAnsiTheme="minorHAnsi" w:cstheme="minorHAnsi"/>
      </w:rPr>
      <w:t>3</w:t>
    </w:r>
    <w:r w:rsidR="00844485">
      <w:rPr>
        <w:rFonts w:asciiTheme="minorHAnsi" w:hAnsiTheme="minorHAnsi" w:cstheme="minorHAnsi"/>
      </w:rPr>
      <w:t>3</w:t>
    </w:r>
    <w:r w:rsidRPr="00A70AF0">
      <w:rPr>
        <w:rFonts w:asciiTheme="minorHAnsi" w:hAnsiTheme="minorHAnsi" w:cstheme="minorHAnsi"/>
      </w:rPr>
      <w:t>.20</w:t>
    </w:r>
    <w:r w:rsidR="0055639B">
      <w:rPr>
        <w:rFonts w:asciiTheme="minorHAnsi" w:hAnsiTheme="minorHAnsi" w:cstheme="minorHAnsi"/>
      </w:rPr>
      <w:t>2</w:t>
    </w:r>
    <w:r w:rsidR="006A1D48">
      <w:rPr>
        <w:rFonts w:asciiTheme="minorHAnsi" w:hAnsiTheme="minorHAnsi" w:cstheme="minorHAnsi"/>
      </w:rPr>
      <w:t>2</w:t>
    </w:r>
    <w:r w:rsidRPr="00A70AF0">
      <w:rPr>
        <w:rFonts w:asciiTheme="minorHAnsi" w:hAnsiTheme="minorHAnsi" w:cstheme="minorHAnsi"/>
      </w:rPr>
      <w:tab/>
    </w:r>
    <w:r w:rsidRPr="00A70AF0">
      <w:rPr>
        <w:rFonts w:asciiTheme="minorHAnsi" w:hAnsiTheme="minorHAnsi" w:cstheme="minorHAnsi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9D6C9C"/>
    <w:multiLevelType w:val="hybridMultilevel"/>
    <w:tmpl w:val="EAA2FFCA"/>
    <w:lvl w:ilvl="0" w:tplc="8396BAD6">
      <w:start w:val="3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8CA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38B"/>
    <w:multiLevelType w:val="hybridMultilevel"/>
    <w:tmpl w:val="6EAC2FB8"/>
    <w:lvl w:ilvl="0" w:tplc="0ADCD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B6D1A"/>
    <w:multiLevelType w:val="hybridMultilevel"/>
    <w:tmpl w:val="8D8EEC28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FD716A"/>
    <w:multiLevelType w:val="hybridMultilevel"/>
    <w:tmpl w:val="E5BCFD0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362B"/>
    <w:multiLevelType w:val="hybridMultilevel"/>
    <w:tmpl w:val="84A08AE8"/>
    <w:lvl w:ilvl="0" w:tplc="16D0AC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D1BD4"/>
    <w:multiLevelType w:val="hybridMultilevel"/>
    <w:tmpl w:val="8712546C"/>
    <w:lvl w:ilvl="0" w:tplc="A8FA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0BE"/>
    <w:multiLevelType w:val="hybridMultilevel"/>
    <w:tmpl w:val="EEA27A1C"/>
    <w:lvl w:ilvl="0" w:tplc="3F8AE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E43ED27C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18FCE29C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C6D72"/>
    <w:multiLevelType w:val="hybridMultilevel"/>
    <w:tmpl w:val="DCC297D6"/>
    <w:lvl w:ilvl="0" w:tplc="521A339E">
      <w:start w:val="2"/>
      <w:numFmt w:val="decimal"/>
      <w:lvlText w:val="%1."/>
      <w:lvlJc w:val="left"/>
      <w:pPr>
        <w:ind w:left="106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E0E01"/>
    <w:multiLevelType w:val="hybridMultilevel"/>
    <w:tmpl w:val="D7F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D0CE3"/>
    <w:multiLevelType w:val="hybridMultilevel"/>
    <w:tmpl w:val="5CEAECC4"/>
    <w:lvl w:ilvl="0" w:tplc="01962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6BD"/>
    <w:multiLevelType w:val="hybridMultilevel"/>
    <w:tmpl w:val="22243E84"/>
    <w:lvl w:ilvl="0" w:tplc="D89A120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4D6"/>
    <w:multiLevelType w:val="hybridMultilevel"/>
    <w:tmpl w:val="C67C3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4FB3"/>
    <w:multiLevelType w:val="hybridMultilevel"/>
    <w:tmpl w:val="1C2E7C5A"/>
    <w:lvl w:ilvl="0" w:tplc="F4A049A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1F98"/>
    <w:multiLevelType w:val="hybridMultilevel"/>
    <w:tmpl w:val="7AE07088"/>
    <w:lvl w:ilvl="0" w:tplc="787A75F6">
      <w:start w:val="1"/>
      <w:numFmt w:val="decimal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8F4533"/>
    <w:multiLevelType w:val="hybridMultilevel"/>
    <w:tmpl w:val="14B82C52"/>
    <w:lvl w:ilvl="0" w:tplc="1A78C0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A78C0E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21CEC"/>
    <w:multiLevelType w:val="hybridMultilevel"/>
    <w:tmpl w:val="3000C194"/>
    <w:lvl w:ilvl="0" w:tplc="50F4EF40">
      <w:start w:val="1"/>
      <w:numFmt w:val="decimal"/>
      <w:lvlText w:val="%1."/>
      <w:lvlJc w:val="left"/>
      <w:pPr>
        <w:ind w:left="1065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A634D9"/>
    <w:multiLevelType w:val="hybridMultilevel"/>
    <w:tmpl w:val="4AE22E32"/>
    <w:lvl w:ilvl="0" w:tplc="3426030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0E2BEA"/>
    <w:multiLevelType w:val="hybridMultilevel"/>
    <w:tmpl w:val="EEFCCF64"/>
    <w:name w:val="WW8Num122"/>
    <w:lvl w:ilvl="0" w:tplc="A98003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04FD"/>
    <w:multiLevelType w:val="hybridMultilevel"/>
    <w:tmpl w:val="34E0C6DC"/>
    <w:lvl w:ilvl="0" w:tplc="5DDAC878">
      <w:start w:val="1"/>
      <w:numFmt w:val="lowerLetter"/>
      <w:lvlText w:val="%1)"/>
      <w:lvlJc w:val="left"/>
      <w:pPr>
        <w:ind w:left="114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6668878">
    <w:abstractNumId w:val="11"/>
  </w:num>
  <w:num w:numId="2" w16cid:durableId="78991251">
    <w:abstractNumId w:val="8"/>
  </w:num>
  <w:num w:numId="3" w16cid:durableId="1221746459">
    <w:abstractNumId w:val="16"/>
  </w:num>
  <w:num w:numId="4" w16cid:durableId="1691372048">
    <w:abstractNumId w:val="3"/>
  </w:num>
  <w:num w:numId="5" w16cid:durableId="1926575720">
    <w:abstractNumId w:val="12"/>
  </w:num>
  <w:num w:numId="6" w16cid:durableId="1433739738">
    <w:abstractNumId w:val="14"/>
  </w:num>
  <w:num w:numId="7" w16cid:durableId="1069185616">
    <w:abstractNumId w:val="0"/>
  </w:num>
  <w:num w:numId="8" w16cid:durableId="2056540965">
    <w:abstractNumId w:val="13"/>
  </w:num>
  <w:num w:numId="9" w16cid:durableId="770514125">
    <w:abstractNumId w:val="7"/>
  </w:num>
  <w:num w:numId="10" w16cid:durableId="1037126736">
    <w:abstractNumId w:val="17"/>
  </w:num>
  <w:num w:numId="11" w16cid:durableId="1238976401">
    <w:abstractNumId w:val="9"/>
  </w:num>
  <w:num w:numId="12" w16cid:durableId="914322735">
    <w:abstractNumId w:val="19"/>
  </w:num>
  <w:num w:numId="13" w16cid:durableId="2109083471">
    <w:abstractNumId w:val="1"/>
  </w:num>
  <w:num w:numId="14" w16cid:durableId="818810415">
    <w:abstractNumId w:val="4"/>
  </w:num>
  <w:num w:numId="15" w16cid:durableId="359163435">
    <w:abstractNumId w:val="15"/>
  </w:num>
  <w:num w:numId="16" w16cid:durableId="752170480">
    <w:abstractNumId w:val="20"/>
  </w:num>
  <w:num w:numId="17" w16cid:durableId="1364818723">
    <w:abstractNumId w:val="2"/>
  </w:num>
  <w:num w:numId="18" w16cid:durableId="1155103092">
    <w:abstractNumId w:val="10"/>
  </w:num>
  <w:num w:numId="19" w16cid:durableId="313721651">
    <w:abstractNumId w:val="5"/>
  </w:num>
  <w:num w:numId="20" w16cid:durableId="1963998865">
    <w:abstractNumId w:val="6"/>
  </w:num>
  <w:num w:numId="21" w16cid:durableId="92407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FD"/>
    <w:rsid w:val="000109AE"/>
    <w:rsid w:val="000B39A5"/>
    <w:rsid w:val="000B6559"/>
    <w:rsid w:val="00104CD6"/>
    <w:rsid w:val="0014017F"/>
    <w:rsid w:val="00197F9F"/>
    <w:rsid w:val="001A293B"/>
    <w:rsid w:val="002B5707"/>
    <w:rsid w:val="002C0C08"/>
    <w:rsid w:val="003173C9"/>
    <w:rsid w:val="003173D5"/>
    <w:rsid w:val="00350970"/>
    <w:rsid w:val="0040505A"/>
    <w:rsid w:val="004139B1"/>
    <w:rsid w:val="00426C1A"/>
    <w:rsid w:val="00481428"/>
    <w:rsid w:val="004929B3"/>
    <w:rsid w:val="004F6C03"/>
    <w:rsid w:val="00554DFD"/>
    <w:rsid w:val="0055639B"/>
    <w:rsid w:val="005926B3"/>
    <w:rsid w:val="005A405B"/>
    <w:rsid w:val="006A1D48"/>
    <w:rsid w:val="006F282D"/>
    <w:rsid w:val="00750BA1"/>
    <w:rsid w:val="0076106F"/>
    <w:rsid w:val="00801833"/>
    <w:rsid w:val="0083490F"/>
    <w:rsid w:val="00841565"/>
    <w:rsid w:val="00844485"/>
    <w:rsid w:val="008D3AF4"/>
    <w:rsid w:val="008E3B51"/>
    <w:rsid w:val="008F244E"/>
    <w:rsid w:val="009125EB"/>
    <w:rsid w:val="0093403D"/>
    <w:rsid w:val="00937581"/>
    <w:rsid w:val="00966E54"/>
    <w:rsid w:val="00A167FE"/>
    <w:rsid w:val="00A45364"/>
    <w:rsid w:val="00A71857"/>
    <w:rsid w:val="00AC2A62"/>
    <w:rsid w:val="00B000D2"/>
    <w:rsid w:val="00B32BCC"/>
    <w:rsid w:val="00B958CA"/>
    <w:rsid w:val="00BA43AF"/>
    <w:rsid w:val="00BD0654"/>
    <w:rsid w:val="00C14D72"/>
    <w:rsid w:val="00CC3930"/>
    <w:rsid w:val="00D05F96"/>
    <w:rsid w:val="00D86806"/>
    <w:rsid w:val="00D900D7"/>
    <w:rsid w:val="00DC6DFA"/>
    <w:rsid w:val="00E328AB"/>
    <w:rsid w:val="00E44E27"/>
    <w:rsid w:val="00E86390"/>
    <w:rsid w:val="00F24B14"/>
    <w:rsid w:val="00F2675C"/>
    <w:rsid w:val="00F60EDB"/>
    <w:rsid w:val="00F66287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F35"/>
  <w15:chartTrackingRefBased/>
  <w15:docId w15:val="{A4036D6D-5775-42DB-B429-55808D07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9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2675C"/>
    <w:pPr>
      <w:widowControl w:val="0"/>
      <w:autoSpaceDE w:val="0"/>
      <w:autoSpaceDN w:val="0"/>
      <w:spacing w:after="0" w:line="240" w:lineRule="auto"/>
      <w:ind w:left="193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49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4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49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9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90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90F"/>
    <w:rPr>
      <w:vertAlign w:val="superscript"/>
    </w:rPr>
  </w:style>
  <w:style w:type="table" w:styleId="Tabela-Siatka">
    <w:name w:val="Table Grid"/>
    <w:basedOn w:val="Standardowy"/>
    <w:uiPriority w:val="39"/>
    <w:rsid w:val="0083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349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1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675C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2675C"/>
    <w:pPr>
      <w:widowControl w:val="0"/>
      <w:autoSpaceDE w:val="0"/>
      <w:autoSpaceDN w:val="0"/>
      <w:spacing w:after="0" w:line="240" w:lineRule="auto"/>
      <w:ind w:left="59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7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Robert Bąk</cp:lastModifiedBy>
  <cp:revision>37</cp:revision>
  <cp:lastPrinted>2020-10-12T10:06:00Z</cp:lastPrinted>
  <dcterms:created xsi:type="dcterms:W3CDTF">2018-10-15T12:44:00Z</dcterms:created>
  <dcterms:modified xsi:type="dcterms:W3CDTF">2022-11-30T14:02:00Z</dcterms:modified>
</cp:coreProperties>
</file>