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6021E163"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61659B" w:rsidRPr="0061659B">
        <w:rPr>
          <w:rFonts w:eastAsia="Times New Roman" w:cstheme="minorHAnsi"/>
          <w:lang w:eastAsia="ar-SA"/>
        </w:rPr>
        <w:t>Remont drogi gminnej wewnętrznej w miejscowości Trękusek</w:t>
      </w:r>
      <w:r w:rsidR="0061659B">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2D4D9A6F" w14:textId="77777777" w:rsidR="0061659B" w:rsidRPr="0061659B" w:rsidRDefault="009445B7" w:rsidP="0061659B">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61659B" w:rsidRPr="0061659B">
        <w:rPr>
          <w:rFonts w:eastAsia="Times New Roman" w:cstheme="minorHAnsi"/>
          <w:bCs/>
          <w:lang w:eastAsia="pl-PL"/>
        </w:rPr>
        <w:t>jest remont nawierzchni drogi gminnej w miejscowości Trękusek w zakresie kompletnej realizacji nawierzchni drogi o nawierzchni z kostki betonowej o powierzchni 632,59 m</w:t>
      </w:r>
      <w:r w:rsidR="0061659B" w:rsidRPr="0061659B">
        <w:rPr>
          <w:rFonts w:eastAsia="Times New Roman" w:cstheme="minorHAnsi"/>
          <w:bCs/>
          <w:vertAlign w:val="superscript"/>
          <w:lang w:eastAsia="pl-PL"/>
        </w:rPr>
        <w:t>2</w:t>
      </w:r>
      <w:r w:rsidR="0061659B" w:rsidRPr="0061659B">
        <w:rPr>
          <w:rFonts w:eastAsia="Times New Roman" w:cstheme="minorHAnsi"/>
          <w:bCs/>
          <w:lang w:eastAsia="pl-PL"/>
        </w:rPr>
        <w:t xml:space="preserve"> w miejscowości Trękusek  (dz. nr 5/32, 5/60), gmina Purda. W ramach zadania przewiduje się wykonanie następujących prac:</w:t>
      </w:r>
    </w:p>
    <w:p w14:paraId="152A676C"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Ulica klasy L</w:t>
      </w:r>
    </w:p>
    <w:p w14:paraId="16CE5E92"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Kategoria drogi – gminna droga wewnętrzna</w:t>
      </w:r>
    </w:p>
    <w:p w14:paraId="060ED3B2"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Kategoria ruchu KR2</w:t>
      </w:r>
    </w:p>
    <w:p w14:paraId="01DC002D" w14:textId="2C75F84A"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Powierzchnia 632</w:t>
      </w:r>
      <w:r>
        <w:rPr>
          <w:rFonts w:eastAsia="Times New Roman" w:cstheme="minorHAnsi"/>
          <w:bCs/>
          <w:lang w:eastAsia="pl-PL"/>
        </w:rPr>
        <w:t>,</w:t>
      </w:r>
      <w:r w:rsidRPr="0061659B">
        <w:rPr>
          <w:rFonts w:eastAsia="Times New Roman" w:cstheme="minorHAnsi"/>
          <w:bCs/>
          <w:lang w:eastAsia="pl-PL"/>
        </w:rPr>
        <w:t>59 m</w:t>
      </w:r>
      <w:r w:rsidRPr="0061659B">
        <w:rPr>
          <w:rFonts w:eastAsia="Times New Roman" w:cstheme="minorHAnsi"/>
          <w:bCs/>
          <w:vertAlign w:val="superscript"/>
          <w:lang w:eastAsia="pl-PL"/>
        </w:rPr>
        <w:t>2</w:t>
      </w:r>
    </w:p>
    <w:p w14:paraId="6FFF6DC6"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Warunki gruntowe proste</w:t>
      </w:r>
    </w:p>
    <w:p w14:paraId="35234450" w14:textId="77777777" w:rsidR="0061659B" w:rsidRPr="0061659B" w:rsidRDefault="0061659B" w:rsidP="0061659B">
      <w:pPr>
        <w:pStyle w:val="Akapitzlist"/>
        <w:spacing w:after="0" w:line="276" w:lineRule="auto"/>
        <w:jc w:val="both"/>
        <w:rPr>
          <w:rFonts w:eastAsia="Times New Roman" w:cstheme="minorHAnsi"/>
          <w:bCs/>
          <w:lang w:eastAsia="pl-PL"/>
        </w:rPr>
      </w:pPr>
    </w:p>
    <w:p w14:paraId="25007387"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Konstrukcja nawierzchni:</w:t>
      </w:r>
    </w:p>
    <w:p w14:paraId="1D5CB9F1"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Uzupełnienie warstwy podbudowy zasadniczej z kruszywa łamanego KŁSM 2/31,5, 5 - 10 cm, przy Wykorzystanie istniejących płyt drogowych</w:t>
      </w:r>
    </w:p>
    <w:p w14:paraId="0956195D"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Wykonanie warstwy podsypki cementowo piaskowej 1:4 o grubości 4 cm</w:t>
      </w:r>
    </w:p>
    <w:p w14:paraId="4717AAD9"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Ułożenie warstwy ścieralnej z kostki brukowej betonowej o grubości 8 cm</w:t>
      </w:r>
    </w:p>
    <w:p w14:paraId="72022B29"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 Utwardzenie poboczy z mieszanki niezwiązanej KŁSM 2/31,5 o grubości 8 cm na szer. 0,50 - 0,75 cm, w miejscach poza zjazdami</w:t>
      </w:r>
    </w:p>
    <w:p w14:paraId="583EA60D" w14:textId="77777777" w:rsidR="0061659B" w:rsidRPr="0061659B" w:rsidRDefault="0061659B" w:rsidP="0061659B">
      <w:pPr>
        <w:pStyle w:val="Akapitzlist"/>
        <w:spacing w:after="0" w:line="276" w:lineRule="auto"/>
        <w:jc w:val="both"/>
        <w:rPr>
          <w:rFonts w:eastAsia="Times New Roman" w:cstheme="minorHAnsi"/>
          <w:bCs/>
          <w:lang w:eastAsia="pl-PL"/>
        </w:rPr>
      </w:pPr>
    </w:p>
    <w:p w14:paraId="767518C3"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lastRenderedPageBreak/>
        <w:t>Zamawiający przekaże do wbudowania nowy materiał w ilości: 663 m</w:t>
      </w:r>
      <w:r w:rsidRPr="0061659B">
        <w:rPr>
          <w:rFonts w:eastAsia="Times New Roman" w:cstheme="minorHAnsi"/>
          <w:bCs/>
          <w:vertAlign w:val="superscript"/>
          <w:lang w:eastAsia="pl-PL"/>
        </w:rPr>
        <w:t>2</w:t>
      </w:r>
      <w:r w:rsidRPr="0061659B">
        <w:rPr>
          <w:rFonts w:eastAsia="Times New Roman" w:cstheme="minorHAnsi"/>
          <w:bCs/>
          <w:lang w:eastAsia="pl-PL"/>
        </w:rPr>
        <w:t xml:space="preserve"> kostki betonowej, grubość 8 cm oraz 130 </w:t>
      </w:r>
      <w:proofErr w:type="spellStart"/>
      <w:r w:rsidRPr="0061659B">
        <w:rPr>
          <w:rFonts w:eastAsia="Times New Roman" w:cstheme="minorHAnsi"/>
          <w:bCs/>
          <w:lang w:eastAsia="pl-PL"/>
        </w:rPr>
        <w:t>mb</w:t>
      </w:r>
      <w:proofErr w:type="spellEnd"/>
      <w:r w:rsidRPr="0061659B">
        <w:rPr>
          <w:rFonts w:eastAsia="Times New Roman" w:cstheme="minorHAnsi"/>
          <w:bCs/>
          <w:lang w:eastAsia="pl-PL"/>
        </w:rPr>
        <w:t xml:space="preserve"> obrzeży.</w:t>
      </w:r>
    </w:p>
    <w:p w14:paraId="0543DB18" w14:textId="77777777" w:rsidR="0061659B" w:rsidRPr="0061659B" w:rsidRDefault="0061659B" w:rsidP="0061659B">
      <w:pPr>
        <w:pStyle w:val="Akapitzlist"/>
        <w:spacing w:after="0" w:line="276" w:lineRule="auto"/>
        <w:jc w:val="both"/>
        <w:rPr>
          <w:rFonts w:eastAsia="Times New Roman" w:cstheme="minorHAnsi"/>
          <w:bCs/>
          <w:lang w:eastAsia="pl-PL"/>
        </w:rPr>
      </w:pPr>
    </w:p>
    <w:p w14:paraId="1738CAB7"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Projektuje się odwodnienie powierzchniowe.</w:t>
      </w:r>
    </w:p>
    <w:p w14:paraId="78C57B49" w14:textId="77777777" w:rsidR="0061659B" w:rsidRPr="0061659B" w:rsidRDefault="0061659B" w:rsidP="0061659B">
      <w:pPr>
        <w:pStyle w:val="Akapitzlist"/>
        <w:spacing w:after="0" w:line="276" w:lineRule="auto"/>
        <w:jc w:val="both"/>
        <w:rPr>
          <w:rFonts w:eastAsia="Times New Roman" w:cstheme="minorHAnsi"/>
          <w:bCs/>
          <w:lang w:eastAsia="pl-PL"/>
        </w:rPr>
      </w:pPr>
      <w:r w:rsidRPr="0061659B">
        <w:rPr>
          <w:rFonts w:eastAsia="Times New Roman" w:cstheme="minorHAnsi"/>
          <w:bCs/>
          <w:lang w:eastAsia="pl-PL"/>
        </w:rPr>
        <w:t>Ze względu na remont nie przewiduje się budowy kanału technologicznego.</w:t>
      </w:r>
    </w:p>
    <w:p w14:paraId="0D8A9980" w14:textId="4B17912F" w:rsidR="00B6788B" w:rsidRPr="00933D70" w:rsidRDefault="0061659B" w:rsidP="0061659B">
      <w:pPr>
        <w:pStyle w:val="Akapitzlist"/>
        <w:spacing w:after="0" w:line="276" w:lineRule="auto"/>
        <w:jc w:val="both"/>
        <w:rPr>
          <w:rFonts w:eastAsia="Times New Roman" w:cstheme="minorHAnsi"/>
        </w:rPr>
      </w:pPr>
      <w:r w:rsidRPr="0061659B">
        <w:rPr>
          <w:rFonts w:eastAsia="Times New Roman" w:cstheme="minorHAnsi"/>
          <w:bCs/>
          <w:lang w:eastAsia="pl-PL"/>
        </w:rPr>
        <w:t>Nie zachodzi potrzeba wycinki drzew.</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A9E74D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F60DA6">
        <w:rPr>
          <w:rFonts w:eastAsia="Times New Roman" w:cstheme="minorHAnsi"/>
          <w:lang w:eastAsia="ar-SA"/>
        </w:rPr>
        <w:t>120</w:t>
      </w:r>
      <w:r w:rsidR="00D0266B" w:rsidRPr="00B921E0">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3BF55FC1"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0799EF21"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D73B5D"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D73B5D">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1345B56"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64D5803C"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zgłosi Zamawiającemu gotowość do odbioru końcowego</w:t>
      </w:r>
      <w:r w:rsidR="00AA30C2">
        <w:rPr>
          <w:rFonts w:eastAsia="Times New Roman" w:cstheme="minorHAnsi"/>
          <w:lang w:eastAsia="ar-SA"/>
        </w:rPr>
        <w:t xml:space="preserve"> </w:t>
      </w:r>
      <w:r w:rsidRPr="00182DF0">
        <w:rPr>
          <w:rFonts w:eastAsia="Times New Roman" w:cstheme="minorHAnsi"/>
          <w:lang w:eastAsia="ar-SA"/>
        </w:rPr>
        <w:t xml:space="preserve">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D73B5D"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D73B5D">
        <w:rPr>
          <w:rFonts w:eastAsia="Times New Roman" w:cstheme="minorHAnsi"/>
          <w:lang w:eastAsia="ar-SA"/>
        </w:rPr>
        <w:t>Z</w:t>
      </w:r>
      <w:r w:rsidR="00182DF0" w:rsidRPr="00D73B5D">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D73B5D"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D73B5D">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7318AE" w14:textId="216759C1" w:rsidR="00A4067F" w:rsidRDefault="00D73B5D" w:rsidP="00A4067F">
      <w:pPr>
        <w:spacing w:after="0"/>
        <w:jc w:val="center"/>
        <w:rPr>
          <w:rFonts w:cstheme="minorHAnsi"/>
          <w:b/>
          <w:sz w:val="28"/>
          <w:szCs w:val="28"/>
        </w:rPr>
      </w:pPr>
      <w:r w:rsidRPr="00D73B5D">
        <w:rPr>
          <w:rFonts w:cstheme="minorHAnsi"/>
          <w:b/>
          <w:sz w:val="28"/>
          <w:szCs w:val="28"/>
        </w:rPr>
        <w:t>Remont drogi gminnej wewnętrznej w miejscowości Trękusek</w:t>
      </w:r>
    </w:p>
    <w:p w14:paraId="14EB0441" w14:textId="77777777" w:rsidR="00D73B5D" w:rsidRPr="00B921E0" w:rsidRDefault="00D73B5D"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067678" w:rsidRPr="00B921E0" w14:paraId="25978B30" w14:textId="77777777" w:rsidTr="00692D70">
        <w:tc>
          <w:tcPr>
            <w:tcW w:w="666" w:type="dxa"/>
            <w:shd w:val="clear" w:color="auto" w:fill="auto"/>
            <w:vAlign w:val="center"/>
          </w:tcPr>
          <w:p w14:paraId="41FF92DE" w14:textId="77777777" w:rsidR="00067678" w:rsidRPr="00B921E0" w:rsidRDefault="00067678" w:rsidP="00067678">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35C59F21" w:rsidR="00067678" w:rsidRPr="00B921E0" w:rsidRDefault="00067678" w:rsidP="00067678">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067678" w:rsidRPr="00B921E0" w:rsidRDefault="00067678" w:rsidP="00067678">
            <w:pPr>
              <w:spacing w:after="0" w:line="240" w:lineRule="auto"/>
              <w:jc w:val="center"/>
              <w:rPr>
                <w:rFonts w:cstheme="minorHAnsi"/>
                <w:b/>
              </w:rPr>
            </w:pPr>
          </w:p>
        </w:tc>
        <w:tc>
          <w:tcPr>
            <w:tcW w:w="2687" w:type="dxa"/>
            <w:shd w:val="clear" w:color="auto" w:fill="auto"/>
            <w:vAlign w:val="center"/>
          </w:tcPr>
          <w:p w14:paraId="24492830" w14:textId="75ED8114" w:rsidR="00067678" w:rsidRPr="00B921E0" w:rsidRDefault="00067678" w:rsidP="00067678">
            <w:pPr>
              <w:spacing w:after="0" w:line="240" w:lineRule="auto"/>
              <w:jc w:val="center"/>
              <w:rPr>
                <w:rFonts w:cstheme="minorHAnsi"/>
                <w:b/>
              </w:rPr>
            </w:pPr>
          </w:p>
        </w:tc>
      </w:tr>
      <w:tr w:rsidR="00067678" w:rsidRPr="00B921E0" w14:paraId="10F5434F" w14:textId="77777777" w:rsidTr="00692D70">
        <w:tc>
          <w:tcPr>
            <w:tcW w:w="666" w:type="dxa"/>
            <w:shd w:val="clear" w:color="auto" w:fill="auto"/>
            <w:vAlign w:val="center"/>
          </w:tcPr>
          <w:p w14:paraId="41C36A6F" w14:textId="77777777" w:rsidR="00067678" w:rsidRPr="00B921E0" w:rsidRDefault="00067678" w:rsidP="00067678">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79768203" w:rsidR="00067678" w:rsidRPr="00B921E0" w:rsidRDefault="00067678" w:rsidP="00067678">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067678" w:rsidRPr="00B921E0" w:rsidRDefault="00067678" w:rsidP="00067678">
            <w:pPr>
              <w:spacing w:after="0" w:line="240" w:lineRule="auto"/>
              <w:jc w:val="center"/>
              <w:rPr>
                <w:rFonts w:cstheme="minorHAnsi"/>
                <w:b/>
              </w:rPr>
            </w:pPr>
          </w:p>
        </w:tc>
        <w:tc>
          <w:tcPr>
            <w:tcW w:w="2687" w:type="dxa"/>
            <w:shd w:val="clear" w:color="auto" w:fill="auto"/>
            <w:vAlign w:val="center"/>
          </w:tcPr>
          <w:p w14:paraId="35DA40D0" w14:textId="1E6A6270" w:rsidR="00067678" w:rsidRPr="00B921E0" w:rsidRDefault="00067678" w:rsidP="00067678">
            <w:pPr>
              <w:spacing w:after="0" w:line="240" w:lineRule="auto"/>
              <w:jc w:val="center"/>
              <w:rPr>
                <w:rFonts w:cstheme="minorHAnsi"/>
                <w:b/>
              </w:rPr>
            </w:pPr>
          </w:p>
        </w:tc>
      </w:tr>
      <w:tr w:rsidR="00067678" w:rsidRPr="00B921E0" w14:paraId="3828BD20" w14:textId="77777777" w:rsidTr="00692D70">
        <w:trPr>
          <w:trHeight w:val="166"/>
        </w:trPr>
        <w:tc>
          <w:tcPr>
            <w:tcW w:w="666" w:type="dxa"/>
            <w:shd w:val="clear" w:color="auto" w:fill="auto"/>
            <w:vAlign w:val="center"/>
          </w:tcPr>
          <w:p w14:paraId="108EB6CC" w14:textId="3C8288CD" w:rsidR="00067678" w:rsidRPr="00B921E0" w:rsidRDefault="00067678" w:rsidP="00067678">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4E07636F" w14:textId="5266A2CD" w:rsidR="00067678" w:rsidRPr="00B921E0" w:rsidRDefault="00067678" w:rsidP="00067678">
            <w:pPr>
              <w:spacing w:after="0" w:line="240" w:lineRule="auto"/>
              <w:jc w:val="both"/>
              <w:rPr>
                <w:rFonts w:cstheme="minorHAnsi"/>
                <w:lang w:eastAsia="pl-PL"/>
              </w:rPr>
            </w:pPr>
            <w:r>
              <w:rPr>
                <w:rFonts w:cstheme="minorHAnsi"/>
                <w:bCs/>
              </w:rPr>
              <w:t>Nawierzchnia</w:t>
            </w:r>
          </w:p>
        </w:tc>
        <w:tc>
          <w:tcPr>
            <w:tcW w:w="2410" w:type="dxa"/>
            <w:shd w:val="clear" w:color="auto" w:fill="auto"/>
            <w:vAlign w:val="center"/>
          </w:tcPr>
          <w:p w14:paraId="0C7E836D" w14:textId="77777777" w:rsidR="00067678" w:rsidRPr="00B921E0" w:rsidRDefault="00067678" w:rsidP="00067678">
            <w:pPr>
              <w:spacing w:after="0" w:line="240" w:lineRule="auto"/>
              <w:jc w:val="center"/>
              <w:rPr>
                <w:rFonts w:cstheme="minorHAnsi"/>
                <w:b/>
              </w:rPr>
            </w:pPr>
          </w:p>
        </w:tc>
        <w:tc>
          <w:tcPr>
            <w:tcW w:w="2687" w:type="dxa"/>
            <w:shd w:val="clear" w:color="auto" w:fill="auto"/>
            <w:vAlign w:val="center"/>
          </w:tcPr>
          <w:p w14:paraId="6C84A7DD" w14:textId="77777777" w:rsidR="00067678" w:rsidRPr="00B921E0" w:rsidRDefault="00067678" w:rsidP="00067678">
            <w:pPr>
              <w:spacing w:after="0" w:line="240" w:lineRule="auto"/>
              <w:jc w:val="center"/>
              <w:rPr>
                <w:rFonts w:cstheme="minorHAnsi"/>
                <w:b/>
              </w:rPr>
            </w:pPr>
          </w:p>
        </w:tc>
      </w:tr>
      <w:tr w:rsidR="00067678" w:rsidRPr="00B921E0" w14:paraId="2E0E12CE" w14:textId="77777777" w:rsidTr="00692D70">
        <w:trPr>
          <w:trHeight w:val="166"/>
        </w:trPr>
        <w:tc>
          <w:tcPr>
            <w:tcW w:w="666" w:type="dxa"/>
            <w:shd w:val="clear" w:color="auto" w:fill="auto"/>
            <w:vAlign w:val="center"/>
          </w:tcPr>
          <w:p w14:paraId="399B2E6A" w14:textId="49BFE945" w:rsidR="00067678" w:rsidRPr="00B921E0" w:rsidRDefault="00067678" w:rsidP="00067678">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49D8F2F0" w:rsidR="00067678" w:rsidRPr="00B921E0" w:rsidRDefault="00067678" w:rsidP="00067678">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067678" w:rsidRPr="00B921E0" w:rsidRDefault="00067678" w:rsidP="00067678">
            <w:pPr>
              <w:spacing w:after="0" w:line="240" w:lineRule="auto"/>
              <w:jc w:val="center"/>
              <w:rPr>
                <w:rFonts w:cstheme="minorHAnsi"/>
                <w:b/>
              </w:rPr>
            </w:pPr>
          </w:p>
        </w:tc>
        <w:tc>
          <w:tcPr>
            <w:tcW w:w="2687" w:type="dxa"/>
            <w:shd w:val="clear" w:color="auto" w:fill="auto"/>
            <w:vAlign w:val="center"/>
          </w:tcPr>
          <w:p w14:paraId="3A38BF42" w14:textId="6E9318A0" w:rsidR="00067678" w:rsidRPr="00B921E0" w:rsidRDefault="00067678" w:rsidP="00067678">
            <w:pPr>
              <w:spacing w:after="0" w:line="240" w:lineRule="auto"/>
              <w:jc w:val="center"/>
              <w:rPr>
                <w:rFonts w:cstheme="minorHAnsi"/>
                <w:b/>
              </w:rPr>
            </w:pPr>
          </w:p>
        </w:tc>
      </w:tr>
      <w:tr w:rsidR="00067678" w:rsidRPr="00B921E0" w14:paraId="2A3CD90B" w14:textId="77777777" w:rsidTr="00692D70">
        <w:tc>
          <w:tcPr>
            <w:tcW w:w="4531" w:type="dxa"/>
            <w:gridSpan w:val="2"/>
            <w:shd w:val="clear" w:color="auto" w:fill="auto"/>
            <w:vAlign w:val="center"/>
          </w:tcPr>
          <w:p w14:paraId="4B29BA11" w14:textId="77777777" w:rsidR="00067678" w:rsidRPr="00B921E0" w:rsidRDefault="00067678" w:rsidP="00067678">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067678" w:rsidRPr="00B921E0" w:rsidRDefault="00067678" w:rsidP="00067678">
            <w:pPr>
              <w:spacing w:after="0" w:line="240" w:lineRule="auto"/>
              <w:jc w:val="center"/>
              <w:rPr>
                <w:rFonts w:cstheme="minorHAnsi"/>
                <w:b/>
              </w:rPr>
            </w:pPr>
          </w:p>
        </w:tc>
        <w:tc>
          <w:tcPr>
            <w:tcW w:w="2687" w:type="dxa"/>
            <w:shd w:val="clear" w:color="auto" w:fill="auto"/>
            <w:vAlign w:val="center"/>
          </w:tcPr>
          <w:p w14:paraId="53D840DA" w14:textId="77777777" w:rsidR="00067678" w:rsidRPr="00B921E0" w:rsidRDefault="00067678" w:rsidP="00067678">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7E43017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5F39" w14:textId="77777777" w:rsidR="00DA1D70" w:rsidRDefault="00DA1D70">
      <w:pPr>
        <w:spacing w:after="0" w:line="240" w:lineRule="auto"/>
      </w:pPr>
      <w:r>
        <w:separator/>
      </w:r>
    </w:p>
  </w:endnote>
  <w:endnote w:type="continuationSeparator" w:id="0">
    <w:p w14:paraId="445D2A8B" w14:textId="77777777" w:rsidR="00DA1D70" w:rsidRDefault="00DA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DA1D7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DA1D7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DDBD" w14:textId="77777777" w:rsidR="00DA1D70" w:rsidRDefault="00DA1D70">
      <w:pPr>
        <w:spacing w:after="0" w:line="240" w:lineRule="auto"/>
      </w:pPr>
      <w:r>
        <w:separator/>
      </w:r>
    </w:p>
  </w:footnote>
  <w:footnote w:type="continuationSeparator" w:id="0">
    <w:p w14:paraId="22EDE3C3" w14:textId="77777777" w:rsidR="00DA1D70" w:rsidRDefault="00DA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DA1D70">
    <w:pPr>
      <w:pStyle w:val="Nagwek"/>
    </w:pPr>
  </w:p>
  <w:p w14:paraId="1D7F8EAF" w14:textId="1789C9F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w:t>
    </w:r>
    <w:r w:rsidR="0061659B">
      <w:rPr>
        <w:rFonts w:asciiTheme="minorHAnsi" w:hAnsiTheme="minorHAnsi" w:cstheme="minorHAnsi"/>
        <w:iCs/>
        <w:sz w:val="20"/>
        <w:szCs w:val="20"/>
      </w:rPr>
      <w:t>6</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0BF4382"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w:t>
    </w:r>
    <w:r w:rsidR="0061659B">
      <w:rPr>
        <w:rFonts w:asciiTheme="minorHAnsi" w:hAnsiTheme="minorHAnsi" w:cstheme="minorHAnsi"/>
        <w:sz w:val="20"/>
        <w:szCs w:val="20"/>
      </w:rPr>
      <w:t>6</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7678"/>
    <w:rsid w:val="00072900"/>
    <w:rsid w:val="000945A3"/>
    <w:rsid w:val="000A711A"/>
    <w:rsid w:val="000B3EFD"/>
    <w:rsid w:val="000C1B00"/>
    <w:rsid w:val="000D4097"/>
    <w:rsid w:val="00127CAE"/>
    <w:rsid w:val="00166394"/>
    <w:rsid w:val="00167275"/>
    <w:rsid w:val="00181337"/>
    <w:rsid w:val="00182DF0"/>
    <w:rsid w:val="001D5BBC"/>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4F62DB"/>
    <w:rsid w:val="00507E0E"/>
    <w:rsid w:val="005A46EC"/>
    <w:rsid w:val="005B4A38"/>
    <w:rsid w:val="005C4086"/>
    <w:rsid w:val="005C77D1"/>
    <w:rsid w:val="005E05D1"/>
    <w:rsid w:val="0061659B"/>
    <w:rsid w:val="006523FB"/>
    <w:rsid w:val="006A1362"/>
    <w:rsid w:val="00701493"/>
    <w:rsid w:val="007A7208"/>
    <w:rsid w:val="00836CC9"/>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A30C2"/>
    <w:rsid w:val="00AE3606"/>
    <w:rsid w:val="00B122B0"/>
    <w:rsid w:val="00B262DC"/>
    <w:rsid w:val="00B4460A"/>
    <w:rsid w:val="00B6788B"/>
    <w:rsid w:val="00B85E54"/>
    <w:rsid w:val="00B921E0"/>
    <w:rsid w:val="00C17C01"/>
    <w:rsid w:val="00C34875"/>
    <w:rsid w:val="00CD3DF3"/>
    <w:rsid w:val="00D0266B"/>
    <w:rsid w:val="00D57827"/>
    <w:rsid w:val="00D622C1"/>
    <w:rsid w:val="00D65B5E"/>
    <w:rsid w:val="00D73B5D"/>
    <w:rsid w:val="00DA1D70"/>
    <w:rsid w:val="00DA2DF1"/>
    <w:rsid w:val="00DF23F6"/>
    <w:rsid w:val="00E06BBC"/>
    <w:rsid w:val="00E4694A"/>
    <w:rsid w:val="00E56B1F"/>
    <w:rsid w:val="00E7020D"/>
    <w:rsid w:val="00E7444B"/>
    <w:rsid w:val="00EE23EA"/>
    <w:rsid w:val="00F42C33"/>
    <w:rsid w:val="00F60DA6"/>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6520</Words>
  <Characters>39126</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28</cp:revision>
  <cp:lastPrinted>2021-06-01T09:38:00Z</cp:lastPrinted>
  <dcterms:created xsi:type="dcterms:W3CDTF">2021-06-01T09:37:00Z</dcterms:created>
  <dcterms:modified xsi:type="dcterms:W3CDTF">2021-08-23T08:21:00Z</dcterms:modified>
</cp:coreProperties>
</file>