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340352" w:rsidRDefault="00D64A43" w:rsidP="00B1503E">
      <w:pPr>
        <w:spacing w:after="0"/>
        <w:jc w:val="both"/>
        <w:rPr>
          <w:rFonts w:cstheme="minorHAnsi"/>
        </w:rPr>
      </w:pPr>
    </w:p>
    <w:p w:rsidR="00B1503E" w:rsidRPr="00340352" w:rsidRDefault="00B1503E" w:rsidP="00B1503E">
      <w:pPr>
        <w:keepNext/>
        <w:spacing w:after="0"/>
        <w:ind w:left="142" w:hanging="142"/>
        <w:jc w:val="right"/>
        <w:outlineLvl w:val="5"/>
        <w:rPr>
          <w:rFonts w:eastAsia="Times New Roman" w:cstheme="minorHAnsi"/>
          <w:b/>
        </w:rPr>
      </w:pPr>
      <w:r w:rsidRPr="00340352">
        <w:rPr>
          <w:rFonts w:eastAsia="Times New Roman" w:cstheme="minorHAnsi"/>
          <w:b/>
        </w:rPr>
        <w:t>Załącznik nr 7 do SIWZ</w:t>
      </w:r>
    </w:p>
    <w:p w:rsidR="00B1503E" w:rsidRPr="00340352" w:rsidRDefault="00B1503E" w:rsidP="00B1503E">
      <w:pPr>
        <w:spacing w:after="0"/>
        <w:jc w:val="both"/>
        <w:rPr>
          <w:rFonts w:eastAsia="Times New Roman" w:cstheme="minorHAnsi"/>
          <w:bCs/>
        </w:rPr>
      </w:pPr>
    </w:p>
    <w:p w:rsidR="00B1503E" w:rsidRPr="00340352" w:rsidRDefault="00B1503E" w:rsidP="00B1503E">
      <w:pPr>
        <w:suppressAutoHyphens/>
        <w:spacing w:after="0"/>
        <w:ind w:left="6382"/>
        <w:jc w:val="both"/>
        <w:rPr>
          <w:rFonts w:eastAsia="Times New Roman" w:cstheme="minorHAnsi"/>
          <w:b/>
          <w:lang w:eastAsia="ar-SA"/>
        </w:rPr>
      </w:pPr>
      <w:r w:rsidRPr="00340352">
        <w:rPr>
          <w:rFonts w:eastAsia="Times New Roman" w:cstheme="minorHAnsi"/>
          <w:b/>
          <w:lang w:eastAsia="ar-SA"/>
        </w:rPr>
        <w:t>Zamawiający: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Gmina Purda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Purda 19,</w:t>
      </w:r>
    </w:p>
    <w:p w:rsidR="00B1503E" w:rsidRPr="00340352" w:rsidRDefault="00B1503E" w:rsidP="00B1503E">
      <w:pPr>
        <w:suppressAutoHyphens/>
        <w:spacing w:after="0"/>
        <w:ind w:left="5954" w:firstLine="427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lang w:eastAsia="ar-SA"/>
        </w:rPr>
        <w:t>11-030 Purda</w:t>
      </w:r>
    </w:p>
    <w:p w:rsidR="00B1503E" w:rsidRPr="00340352" w:rsidRDefault="00B1503E" w:rsidP="00B1503E">
      <w:pPr>
        <w:suppressAutoHyphens/>
        <w:spacing w:after="0"/>
        <w:jc w:val="both"/>
        <w:rPr>
          <w:rFonts w:eastAsia="Times New Roman" w:cstheme="minorHAnsi"/>
          <w:b/>
          <w:lang w:eastAsia="ar-SA"/>
        </w:rPr>
      </w:pPr>
      <w:r w:rsidRPr="00340352">
        <w:rPr>
          <w:rFonts w:eastAsia="Times New Roman" w:cstheme="minorHAnsi"/>
          <w:b/>
          <w:lang w:eastAsia="ar-SA"/>
        </w:rPr>
        <w:t>Wykonawca:</w:t>
      </w:r>
    </w:p>
    <w:p w:rsidR="00B1503E" w:rsidRPr="00340352" w:rsidRDefault="00B1503E" w:rsidP="00B1503E">
      <w:pPr>
        <w:suppressAutoHyphens/>
        <w:spacing w:after="0"/>
        <w:ind w:right="5954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340352">
        <w:rPr>
          <w:rFonts w:eastAsia="Times New Roman" w:cstheme="minorHAnsi"/>
          <w:lang w:eastAsia="ar-SA"/>
        </w:rPr>
        <w:t>……………..</w:t>
      </w:r>
    </w:p>
    <w:p w:rsidR="00B1503E" w:rsidRPr="00340352" w:rsidRDefault="00B1503E" w:rsidP="00B1503E">
      <w:pPr>
        <w:suppressAutoHyphens/>
        <w:spacing w:after="0"/>
        <w:ind w:right="5953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340352">
        <w:rPr>
          <w:rFonts w:eastAsia="Times New Roman" w:cstheme="minorHAnsi"/>
          <w:i/>
          <w:lang w:eastAsia="ar-SA"/>
        </w:rPr>
        <w:t>CEiDG</w:t>
      </w:r>
      <w:proofErr w:type="spellEnd"/>
      <w:r w:rsidRPr="00340352">
        <w:rPr>
          <w:rFonts w:eastAsia="Times New Roman" w:cstheme="minorHAnsi"/>
          <w:i/>
          <w:lang w:eastAsia="ar-SA"/>
        </w:rPr>
        <w:t>)</w:t>
      </w:r>
    </w:p>
    <w:p w:rsidR="00B1503E" w:rsidRPr="00340352" w:rsidRDefault="00B1503E" w:rsidP="00B1503E">
      <w:pPr>
        <w:suppressAutoHyphens/>
        <w:spacing w:after="0"/>
        <w:jc w:val="both"/>
        <w:rPr>
          <w:rFonts w:eastAsia="Times New Roman" w:cstheme="minorHAnsi"/>
          <w:u w:val="single"/>
          <w:lang w:eastAsia="ar-SA"/>
        </w:rPr>
      </w:pPr>
      <w:r w:rsidRPr="00340352">
        <w:rPr>
          <w:rFonts w:eastAsia="Times New Roman" w:cstheme="minorHAnsi"/>
          <w:u w:val="single"/>
          <w:lang w:eastAsia="ar-SA"/>
        </w:rPr>
        <w:t>reprezentowany przez:</w:t>
      </w:r>
    </w:p>
    <w:p w:rsidR="00B1503E" w:rsidRPr="00340352" w:rsidRDefault="00B1503E" w:rsidP="00B1503E">
      <w:pPr>
        <w:suppressAutoHyphens/>
        <w:spacing w:after="0"/>
        <w:ind w:right="5954"/>
        <w:jc w:val="both"/>
        <w:rPr>
          <w:rFonts w:eastAsia="Times New Roman" w:cstheme="minorHAnsi"/>
          <w:lang w:eastAsia="ar-SA"/>
        </w:rPr>
      </w:pPr>
      <w:r w:rsidRPr="00340352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340352">
        <w:rPr>
          <w:rFonts w:eastAsia="Times New Roman" w:cstheme="minorHAnsi"/>
          <w:lang w:eastAsia="ar-SA"/>
        </w:rPr>
        <w:t>……………………………………………..</w:t>
      </w:r>
    </w:p>
    <w:p w:rsidR="00B1503E" w:rsidRPr="00340352" w:rsidRDefault="00B1503E" w:rsidP="00B1503E">
      <w:pPr>
        <w:suppressAutoHyphens/>
        <w:spacing w:after="0"/>
        <w:ind w:right="5953"/>
        <w:jc w:val="both"/>
        <w:rPr>
          <w:rFonts w:eastAsia="Times New Roman" w:cstheme="minorHAnsi"/>
          <w:i/>
          <w:lang w:eastAsia="ar-SA"/>
        </w:rPr>
      </w:pPr>
      <w:r w:rsidRPr="00340352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B1503E" w:rsidRPr="00340352" w:rsidRDefault="00B1503E" w:rsidP="00B1503E">
      <w:pPr>
        <w:suppressAutoHyphens/>
        <w:spacing w:after="0"/>
        <w:jc w:val="both"/>
        <w:rPr>
          <w:rFonts w:cstheme="minorHAnsi"/>
        </w:rPr>
      </w:pPr>
    </w:p>
    <w:p w:rsidR="00B1503E" w:rsidRPr="00340352" w:rsidRDefault="00B1503E" w:rsidP="00B1503E">
      <w:pPr>
        <w:pStyle w:val="Nagwek5"/>
        <w:numPr>
          <w:ilvl w:val="0"/>
          <w:numId w:val="0"/>
        </w:numPr>
        <w:suppressAutoHyphens/>
        <w:spacing w:before="0" w:after="0" w:line="276" w:lineRule="auto"/>
        <w:ind w:left="1008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340352">
        <w:rPr>
          <w:rFonts w:asciiTheme="minorHAnsi" w:hAnsiTheme="minorHAnsi" w:cstheme="minorHAnsi"/>
          <w:i w:val="0"/>
          <w:sz w:val="28"/>
          <w:szCs w:val="28"/>
        </w:rPr>
        <w:t>Formularz oceny wymagań funkcjonalnych dodatkowych</w:t>
      </w:r>
    </w:p>
    <w:p w:rsidR="00F15695" w:rsidRPr="00340352" w:rsidRDefault="00F15695" w:rsidP="00B1503E">
      <w:pPr>
        <w:spacing w:after="0"/>
        <w:jc w:val="both"/>
        <w:rPr>
          <w:rFonts w:cstheme="minorHAnsi"/>
          <w:b/>
        </w:rPr>
      </w:pPr>
    </w:p>
    <w:p w:rsidR="00B1503E" w:rsidRPr="00340352" w:rsidRDefault="00244384" w:rsidP="00B1503E">
      <w:pPr>
        <w:spacing w:after="0"/>
        <w:jc w:val="both"/>
        <w:rPr>
          <w:rFonts w:cstheme="minorHAnsi"/>
          <w:b/>
        </w:rPr>
      </w:pPr>
      <w:bookmarkStart w:id="1" w:name="_Hlk511649517"/>
      <w:r w:rsidRPr="00340352">
        <w:rPr>
          <w:rFonts w:cstheme="minorHAnsi"/>
        </w:rPr>
        <w:t>w postępowaniu o udzielenie zamówienia publicznego pn</w:t>
      </w:r>
      <w:r w:rsidRPr="00340352">
        <w:rPr>
          <w:rFonts w:cstheme="minorHAnsi"/>
          <w:b/>
        </w:rPr>
        <w:t xml:space="preserve">.: </w:t>
      </w:r>
      <w:r w:rsidR="00B1503E" w:rsidRPr="00340352">
        <w:rPr>
          <w:rFonts w:cstheme="minorHAnsi"/>
          <w:b/>
        </w:rPr>
        <w:t> „Wdrożenie e-usług publicznych w Gminie Purda”</w:t>
      </w:r>
      <w:bookmarkEnd w:id="1"/>
    </w:p>
    <w:p w:rsidR="00B1503E" w:rsidRPr="00340352" w:rsidRDefault="00B1503E" w:rsidP="00B1503E">
      <w:pPr>
        <w:spacing w:after="0"/>
        <w:jc w:val="both"/>
        <w:rPr>
          <w:rFonts w:eastAsia="Cambria" w:cstheme="minorHAnsi"/>
          <w:highlight w:val="white"/>
          <w:lang w:eastAsia="en-US"/>
        </w:rPr>
      </w:pPr>
      <w:r w:rsidRPr="00340352">
        <w:rPr>
          <w:rFonts w:eastAsia="Cambria" w:cstheme="minorHAnsi"/>
          <w:shd w:val="clear" w:color="auto" w:fill="FFFFFF"/>
          <w:lang w:eastAsia="en-US"/>
        </w:rPr>
        <w:t xml:space="preserve">Wymagania funkcjonalne dla e-portalu GIS do prezentacji danych przestrzennych. Możliwe do uzyskania 20 pkt. Każda odpowiedź punktowana za 2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238"/>
        <w:gridCol w:w="1133"/>
        <w:gridCol w:w="1306"/>
      </w:tblGrid>
      <w:tr w:rsidR="00B1503E" w:rsidRPr="00340352" w:rsidTr="00C966F4">
        <w:trPr>
          <w:trHeight w:val="40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b/>
                <w:lang w:eastAsia="en-US"/>
              </w:rPr>
            </w:pPr>
            <w:r w:rsidRPr="00340352">
              <w:rPr>
                <w:rFonts w:eastAsia="Cambria" w:cstheme="minorHAnsi"/>
                <w:b/>
                <w:shd w:val="clear" w:color="auto" w:fill="FFFFFF"/>
                <w:lang w:eastAsia="en-US"/>
              </w:rPr>
              <w:t>Nie spełnia</w:t>
            </w: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bookmarkStart w:id="2" w:name="_Hlk504558098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bookmarkStart w:id="3" w:name="_Hlk504558834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możliwość wczytywania i wyświetlania minimum następujących rodzajów/typów warstw: WMS, wektorowych, rastrowych, zasilając ją plikami w formacie SHP + DBF, GML, w układach współrzędnych 1942, 1965, 1992, 2000, UTM, WGS 84. Dodając nową lub edytując już dodaną warstwę można wybrać dla niej kategorię, w ramach której ta warstwa będzie wyświetlana.</w:t>
            </w:r>
            <w:bookmarkEnd w:id="3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bookmarkEnd w:id="2"/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zalogowanym użytkownikom z odpowiednimi uprawnieniami możliwość dodawania i edycji własnych warstw. Dla własnej warstwy użytkownik może zdefiniować przynajmniej takie parametry jak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parametry obiektów,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pola unikalne obiektów oddzielnie dla każdej warstwy,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grubość, przezroczystość i kolor obrysu, kolor i przezroczystość wypełnienia oraz promień, 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możliwość ustawienia ikon poszczególnych warstw za pomocą zdjęcia w formacie JPG lub PNG,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zdefiniować w trybie WYSIWYG oddzielnie dla każdej z grup (użytkownicy niezalogowani, użytkownicy zalogowani oraz siebie samego) jakie atrybuty/parametry mają być </w:t>
            </w: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lastRenderedPageBreak/>
              <w:t>wyświetlane dla każdego z obiektów warstwy (jeśli dany obiekt akurat posiada wybraną cechę)</w:t>
            </w:r>
          </w:p>
          <w:p w:rsidR="00B1503E" w:rsidRPr="00340352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ustawić parametry po jakich użytkownik będzie mógł w przeglądarce GIS wyszukiwać obiekty w ramach danej warstwy.</w:t>
            </w:r>
          </w:p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Każda dodana warstwa może zostać zapisana do każdego z formatów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Shape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, GML oraz CSV w celu importu w programie obsługujący dany typ pliku.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Każda warstwa w systemie może być skonfigurowana jako publiczna (widoczna dla wszystkich bez konieczności logowania do systemu) lub niepubliczna (dostępna tylko dla zalogowanych użytkowników systemu) oraz jako wczytywana automatycznie razem z załadowaniem portalu GIS lub wyświetlana dopiero po wykonaniu czynności przez użytkownika.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Kategorie można dodawać, usuwać i modyfikować. Można dodać nieograniczoną liczbę kategorii. Kategorie mogą być nazywane i grupowane w dowolny sposób. Pod jedną kategorią główną może być zagnieżdżonych dowolna ilość podkategorii z dowolną głębią zagnieżdżenia. Zmiana położenia kategorii w strukturze drzewiastej kategorii zmieniana jest w prosty i wygodny sposób (przeciągnij i upuść). Dla zwiększenia przejrzystości kategorie wyświetlają się w postaci rozwijalnego drzewka, którego poszczególne gałęzie można zwijać lub rozwijać, każdą z osobna. Pod jedną kategorię może być podłączane wiele warstw. Uaktywnienie kategorii ze struktury drzewiastej powoduje uaktywnienie wszystkich jej podkategorii w całej strukturze w dół drzewa oraz jednoczesne uaktywnienie/wyświetlenie na mapie wszystkich warstw podłączonych pod uaktywnione kategorie. Każdą kategorię można być opatrzyć swoim własnym symbolem identyfikującym ją.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każdej z warstw rastrowych, wektorowych i własnych użytkownika można w łatwy sposób (przeciągnij i upuść) zmieniać kolejność wyświetlania poszczególnych warstw.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System zapewnia możliwość zdefiniowania domyślnego obszaru wyświetlania. Użytkownik nie będzie miał możliwości przesunięcia obszaru mapy poza ten z góry zdefiniowany. Dane z poza ustawionego obszaru nie będą uwzględniane w wynikach wyszukiwania.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warstw wektorowych użytkownik może samodzielnie zdefiniować takie minimalne parametry jak: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kolor i przezroczystość wypełnienia,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grubość, typ, kolor i przezroczystość linii obrysu,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zdefiniować oddzielnie dla każdej z grup (użytkownicy niezalogowani, użytkownicy zalogowani oraz siebie samego) jakie cechy/parametry mają być wyświetlane dla </w:t>
            </w: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lastRenderedPageBreak/>
              <w:t>każdego z obiektów warstwy (jeśli dany obiekt akurat posiada wybraną cechę),</w:t>
            </w:r>
          </w:p>
          <w:p w:rsidR="00B1503E" w:rsidRPr="00340352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ustawić parametry po jakich użytkownik będzie mógł wyszukiwać obiekty w ramach danej warstwy.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Dla obiektów typu POI (Point Of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Interest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 xml:space="preserve">) na warstwach edytowalnych systemu użytkownik z odpowiednimi uprawnieniami ma możliwość dodania lub edycji (dodaj, usuń, zmień) minimum takich elementów jak atrybuty obiektu, zdjęcia, linki do materiałów wideo i uzupełnianie/modyfikacja/usuwanie atrybutów opisujących dany POI. Zmiany dokonywane na obiektach warstw takie jak zmiana </w:t>
            </w:r>
            <w:proofErr w:type="spellStart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georeferencji</w:t>
            </w:r>
            <w:proofErr w:type="spellEnd"/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, zmiana wartości atrybutów oraz zmiany w plikach są rejestrowane przez system z informacją o użytkowniku dokonującym zmiany oraz dacie i godzinie zmiany. Istnieje możliwość podglądu wszystkich zarejestrowanych zmian i ich cofnięcia do stanu z przed edycji.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shd w:val="clear" w:color="auto" w:fill="FFFFFF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Dla edytowalnych warstw systemu użytkownik z odpowiednim zakresem uprawnień może dodawać, edytować oraz usuwać atrybuty POI. Dla każdego atrybutu system zapewnia minimum możliwość zdefiniowania nazwy, wartości domyślnej, typu oraz jednostki dla atrybutu.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  <w:tr w:rsidR="00B1503E" w:rsidRPr="00340352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  <w:r w:rsidRPr="00340352">
              <w:rPr>
                <w:rFonts w:eastAsia="Cambria" w:cstheme="minorHAnsi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mbria" w:cstheme="minorHAnsi"/>
                <w:highlight w:val="white"/>
                <w:lang w:eastAsia="en-US"/>
              </w:rPr>
            </w:pPr>
            <w:r w:rsidRPr="00340352">
              <w:rPr>
                <w:rFonts w:eastAsia="Cambria" w:cstheme="minorHAnsi"/>
                <w:highlight w:val="white"/>
                <w:lang w:eastAsia="en-US"/>
              </w:rPr>
              <w:t>Dla edytowalnych warstw systemu istnieje mechanizm pozwalający na zdefiniowanie jakie atrybuty pól dla danej warstwy nie mogą się dublować.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340352" w:rsidRDefault="00B1503E" w:rsidP="00B1503E">
            <w:pPr>
              <w:spacing w:after="0"/>
              <w:jc w:val="both"/>
              <w:rPr>
                <w:rFonts w:eastAsia="Calibri" w:cstheme="minorHAnsi"/>
                <w:shd w:val="clear" w:color="auto" w:fill="FFFFFF"/>
                <w:lang w:eastAsia="en-US"/>
              </w:rPr>
            </w:pPr>
          </w:p>
        </w:tc>
      </w:tr>
    </w:tbl>
    <w:p w:rsidR="00B1503E" w:rsidRPr="00340352" w:rsidRDefault="00B1503E" w:rsidP="00B1503E">
      <w:pPr>
        <w:spacing w:after="0"/>
        <w:jc w:val="both"/>
        <w:rPr>
          <w:rFonts w:eastAsia="Cambria" w:cstheme="minorHAnsi"/>
          <w:shd w:val="clear" w:color="auto" w:fill="FFFFFF"/>
          <w:lang w:eastAsia="en-US"/>
        </w:rPr>
      </w:pP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Niniejszym wskazujemy adres serwera www lub załączamy system na nośniku w postaci …………..…….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…………………………………………………………………………………………………..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na którym jest zainstalowany e-portal GIS do prezentacji danych przestrzennych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loginy ……………………………………………………………..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hasło: ……………………………………………………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 xml:space="preserve">w celu weryfikacji poprawności działania systemu a także posiadanych funkcji dodatkowych będących podstawą niniejszej oceny. 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Przykładowy scenariusz testowy funkcyjności: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Ad. 1. Użytkownik uruchamia przeglądarkę WWW oraz wpisuje adres www.XXXX.pl, po prawidłowym zalogowaniu wybiera w menu górnego pole np. MENU/UZYTKOWNIK itd.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b/>
          <w:spacing w:val="-8"/>
          <w:lang w:eastAsia="en-US"/>
        </w:rPr>
      </w:pPr>
      <w:r w:rsidRPr="00340352">
        <w:rPr>
          <w:rFonts w:eastAsia="Calibri" w:cstheme="minorHAnsi"/>
          <w:b/>
          <w:spacing w:val="-8"/>
          <w:lang w:eastAsia="en-US"/>
        </w:rPr>
        <w:t xml:space="preserve">Wykonawca do złożonej oferty zobowiązany jest dodać opis scenariusza wykonania testów akceptacyjnych ocenianych dodatkowych funkcjonalności w postaci graficznej i tekstowej zgodnie z załączonym powyżej przykładem. </w:t>
      </w:r>
    </w:p>
    <w:p w:rsidR="00B1503E" w:rsidRPr="00340352" w:rsidRDefault="00B1503E" w:rsidP="00B1503E">
      <w:pPr>
        <w:spacing w:after="0"/>
        <w:jc w:val="both"/>
        <w:rPr>
          <w:rFonts w:eastAsia="Calibri" w:cstheme="minorHAnsi"/>
          <w:spacing w:val="-8"/>
          <w:szCs w:val="24"/>
          <w:lang w:eastAsia="en-US"/>
        </w:rPr>
      </w:pPr>
      <w:r w:rsidRPr="00340352">
        <w:rPr>
          <w:rFonts w:eastAsia="Calibri" w:cstheme="minorHAnsi"/>
          <w:spacing w:val="-8"/>
          <w:lang w:eastAsia="en-US"/>
        </w:rPr>
        <w:t>Opis scenariusza testu dodatkowych funkcjonalności jest częścią złożonej oferty</w:t>
      </w:r>
      <w:r w:rsidRPr="00340352">
        <w:rPr>
          <w:rFonts w:eastAsia="Calibri" w:cstheme="minorHAnsi"/>
          <w:spacing w:val="-8"/>
          <w:szCs w:val="24"/>
          <w:lang w:eastAsia="en-US"/>
        </w:rPr>
        <w:t xml:space="preserve">. </w:t>
      </w:r>
    </w:p>
    <w:p w:rsidR="00B1503E" w:rsidRPr="00340352" w:rsidRDefault="00B1503E" w:rsidP="00B1503E">
      <w:pPr>
        <w:suppressAutoHyphens/>
        <w:spacing w:after="0"/>
        <w:jc w:val="both"/>
        <w:rPr>
          <w:rFonts w:cstheme="minorHAnsi"/>
        </w:rPr>
      </w:pPr>
    </w:p>
    <w:p w:rsidR="00F15695" w:rsidRPr="00340352" w:rsidRDefault="00F15695" w:rsidP="00F1569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bookmarkStart w:id="4" w:name="_GoBack"/>
      <w:bookmarkEnd w:id="4"/>
    </w:p>
    <w:p w:rsidR="00F15695" w:rsidRPr="00340352" w:rsidRDefault="00F15695" w:rsidP="00F15695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340352">
        <w:rPr>
          <w:rFonts w:eastAsia="Times New Roman" w:cstheme="minorHAnsi"/>
        </w:rPr>
        <w:t xml:space="preserve">Data: ………..................... </w:t>
      </w:r>
      <w:r w:rsidRPr="00340352">
        <w:rPr>
          <w:rFonts w:eastAsia="Times New Roman" w:cstheme="minorHAnsi"/>
        </w:rPr>
        <w:tab/>
        <w:t>...............................................................</w:t>
      </w:r>
    </w:p>
    <w:p w:rsidR="00F15695" w:rsidRPr="00340352" w:rsidRDefault="00F15695" w:rsidP="00F1569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  <w:r w:rsidRPr="00340352">
        <w:rPr>
          <w:rFonts w:eastAsia="Times New Roman" w:cstheme="minorHAnsi"/>
          <w:i/>
        </w:rPr>
        <w:t>(podpis(-y) osoby(-</w:t>
      </w:r>
      <w:proofErr w:type="spellStart"/>
      <w:r w:rsidRPr="00340352">
        <w:rPr>
          <w:rFonts w:eastAsia="Times New Roman" w:cstheme="minorHAnsi"/>
          <w:i/>
        </w:rPr>
        <w:t>ób</w:t>
      </w:r>
      <w:proofErr w:type="spellEnd"/>
      <w:r w:rsidRPr="00340352">
        <w:rPr>
          <w:rFonts w:eastAsia="Times New Roman" w:cstheme="minorHAnsi"/>
          <w:i/>
        </w:rPr>
        <w:t>) upoważnionej(-</w:t>
      </w:r>
      <w:proofErr w:type="spellStart"/>
      <w:r w:rsidRPr="00340352">
        <w:rPr>
          <w:rFonts w:eastAsia="Times New Roman" w:cstheme="minorHAnsi"/>
          <w:i/>
        </w:rPr>
        <w:t>ych</w:t>
      </w:r>
      <w:proofErr w:type="spellEnd"/>
      <w:r w:rsidRPr="00340352">
        <w:rPr>
          <w:rFonts w:eastAsia="Times New Roman" w:cstheme="minorHAnsi"/>
          <w:i/>
        </w:rPr>
        <w:t>) do reprezentowania Wykonawcy)</w:t>
      </w:r>
    </w:p>
    <w:sectPr w:rsidR="00F15695" w:rsidRPr="00340352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F0A" w:rsidRDefault="006E1F0A" w:rsidP="00BD2785">
      <w:pPr>
        <w:spacing w:after="0" w:line="240" w:lineRule="auto"/>
      </w:pPr>
      <w:r>
        <w:separator/>
      </w:r>
    </w:p>
  </w:endnote>
  <w:endnote w:type="continuationSeparator" w:id="0">
    <w:p w:rsidR="006E1F0A" w:rsidRDefault="006E1F0A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3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3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F0A" w:rsidRDefault="006E1F0A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6E1F0A" w:rsidRDefault="006E1F0A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340352" w:rsidRDefault="001B01F4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340352">
      <w:rPr>
        <w:rFonts w:asciiTheme="minorHAnsi" w:hAnsiTheme="minorHAnsi" w:cstheme="minorHAnsi"/>
      </w:rPr>
      <w:t>Znak sprawy: ZP.271.</w:t>
    </w:r>
    <w:r w:rsidR="00340352">
      <w:rPr>
        <w:rFonts w:asciiTheme="minorHAnsi" w:hAnsiTheme="minorHAnsi" w:cstheme="minorHAnsi"/>
      </w:rPr>
      <w:t>39</w:t>
    </w:r>
    <w:r w:rsidRPr="00340352">
      <w:rPr>
        <w:rFonts w:asciiTheme="minorHAnsi" w:hAnsiTheme="minorHAnsi" w:cstheme="minorHAnsi"/>
      </w:rPr>
      <w:t>.2018</w:t>
    </w:r>
    <w:r w:rsidRPr="00340352">
      <w:rPr>
        <w:rFonts w:asciiTheme="minorHAnsi" w:hAnsiTheme="minorHAnsi" w:cstheme="minorHAnsi"/>
      </w:rPr>
      <w:tab/>
    </w:r>
    <w:r w:rsidRPr="00340352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367C7"/>
    <w:multiLevelType w:val="hybridMultilevel"/>
    <w:tmpl w:val="066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402F"/>
    <w:multiLevelType w:val="hybridMultilevel"/>
    <w:tmpl w:val="F37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4384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4EC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0352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2699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1F0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503E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5695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93F3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podstawowy22">
    <w:name w:val="Tekst podstawowy 22"/>
    <w:basedOn w:val="Normalny"/>
    <w:rsid w:val="00B1503E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9EDF-A04A-4036-9639-735C6D5A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4</cp:revision>
  <cp:lastPrinted>2018-03-16T11:05:00Z</cp:lastPrinted>
  <dcterms:created xsi:type="dcterms:W3CDTF">2018-04-17T20:42:00Z</dcterms:created>
  <dcterms:modified xsi:type="dcterms:W3CDTF">2018-11-09T10:58:00Z</dcterms:modified>
</cp:coreProperties>
</file>