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A5D" w14:textId="78646E7C" w:rsidR="007B7E30" w:rsidRDefault="004574B6" w:rsidP="004574B6">
      <w:pPr>
        <w:spacing w:after="0"/>
        <w:jc w:val="right"/>
        <w:rPr>
          <w:b/>
          <w:bCs/>
        </w:rPr>
      </w:pPr>
      <w:r w:rsidRPr="004574B6">
        <w:rPr>
          <w:b/>
          <w:bCs/>
        </w:rPr>
        <w:t>Załącznik nr 2a do SWZ</w:t>
      </w:r>
    </w:p>
    <w:p w14:paraId="6C0AC292" w14:textId="77777777" w:rsidR="004574B6" w:rsidRDefault="004574B6" w:rsidP="004574B6">
      <w:pPr>
        <w:spacing w:after="0"/>
        <w:jc w:val="right"/>
        <w:rPr>
          <w:b/>
          <w:bCs/>
        </w:rPr>
      </w:pPr>
    </w:p>
    <w:p w14:paraId="2A0C90CD" w14:textId="77777777" w:rsidR="009C5E73" w:rsidRDefault="009C5E73" w:rsidP="009C5E73">
      <w:pPr>
        <w:spacing w:after="0"/>
        <w:jc w:val="center"/>
        <w:rPr>
          <w:rFonts w:cstheme="minorHAnsi"/>
        </w:rPr>
      </w:pPr>
    </w:p>
    <w:p w14:paraId="37DA1AA0" w14:textId="77777777" w:rsidR="00EF2E62" w:rsidRPr="00C33F52" w:rsidRDefault="00EF2E62" w:rsidP="00814759">
      <w:pPr>
        <w:suppressAutoHyphens/>
        <w:spacing w:after="0" w:line="276" w:lineRule="auto"/>
        <w:ind w:left="6804" w:firstLine="709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p w14:paraId="453C43CB" w14:textId="77777777" w:rsidR="00EF2E62" w:rsidRPr="005E5837" w:rsidRDefault="00EF2E62" w:rsidP="00814759">
      <w:pPr>
        <w:suppressAutoHyphens/>
        <w:spacing w:after="0" w:line="276" w:lineRule="auto"/>
        <w:ind w:left="7513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Gmina Purda</w:t>
      </w:r>
    </w:p>
    <w:p w14:paraId="34018A27" w14:textId="77777777" w:rsidR="00EF2E62" w:rsidRPr="005E5837" w:rsidRDefault="00EF2E62" w:rsidP="00814759">
      <w:pPr>
        <w:suppressAutoHyphens/>
        <w:spacing w:after="0" w:line="276" w:lineRule="auto"/>
        <w:ind w:left="7513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Purda 19</w:t>
      </w:r>
    </w:p>
    <w:p w14:paraId="3A1DD7FB" w14:textId="77777777" w:rsidR="00EF2E62" w:rsidRPr="00067F52" w:rsidRDefault="00EF2E62" w:rsidP="00814759">
      <w:pPr>
        <w:suppressAutoHyphens/>
        <w:spacing w:after="0" w:line="276" w:lineRule="auto"/>
        <w:ind w:left="7513"/>
        <w:rPr>
          <w:rFonts w:eastAsia="Times New Roman" w:cstheme="minorHAnsi"/>
          <w:lang w:eastAsia="ar-SA"/>
        </w:rPr>
      </w:pPr>
      <w:r w:rsidRPr="005E5837">
        <w:rPr>
          <w:rFonts w:eastAsia="Times New Roman" w:cstheme="minorHAnsi"/>
          <w:lang w:eastAsia="ar-SA"/>
        </w:rPr>
        <w:t xml:space="preserve">11-030 </w:t>
      </w:r>
      <w:r>
        <w:rPr>
          <w:rFonts w:eastAsia="Times New Roman" w:cstheme="minorHAnsi"/>
          <w:lang w:eastAsia="ar-SA"/>
        </w:rPr>
        <w:t>Purda</w:t>
      </w:r>
      <w:bookmarkEnd w:id="0"/>
    </w:p>
    <w:p w14:paraId="25F37B8C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08D768A7" w14:textId="6B53FBD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</w:t>
      </w:r>
      <w:r w:rsidR="00814759">
        <w:rPr>
          <w:rFonts w:eastAsia="Times New Roman" w:cstheme="minorHAnsi"/>
          <w:lang w:eastAsia="ar-SA"/>
        </w:rPr>
        <w:t>…</w:t>
      </w:r>
    </w:p>
    <w:p w14:paraId="4AD68A63" w14:textId="0FF14991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</w:t>
      </w:r>
    </w:p>
    <w:p w14:paraId="2387C8E4" w14:textId="369FE6DD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</w:t>
      </w:r>
    </w:p>
    <w:p w14:paraId="2B328CE6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4D5424A0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300DFC7F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239C5CF8" w14:textId="2F68860D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</w:t>
      </w:r>
    </w:p>
    <w:p w14:paraId="40A75ED9" w14:textId="57EB6B6D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</w:t>
      </w:r>
    </w:p>
    <w:p w14:paraId="6FEE92FB" w14:textId="7D85121B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</w:t>
      </w:r>
    </w:p>
    <w:p w14:paraId="2E899375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5A20D00B" w14:textId="77777777" w:rsidR="00EF2E62" w:rsidRDefault="00EF2E62" w:rsidP="00EF2E62">
      <w:pPr>
        <w:spacing w:after="0"/>
        <w:jc w:val="both"/>
        <w:rPr>
          <w:rFonts w:cstheme="minorHAnsi"/>
        </w:rPr>
      </w:pPr>
    </w:p>
    <w:p w14:paraId="3CD79FF4" w14:textId="77777777" w:rsidR="00E74681" w:rsidRDefault="00E74681" w:rsidP="009C5E73">
      <w:pPr>
        <w:spacing w:after="0"/>
        <w:jc w:val="center"/>
        <w:rPr>
          <w:rFonts w:cstheme="minorHAnsi"/>
        </w:rPr>
      </w:pPr>
    </w:p>
    <w:p w14:paraId="4E8A6ABC" w14:textId="77777777" w:rsidR="00EF2E62" w:rsidRDefault="00EF2E62" w:rsidP="009C5E73">
      <w:pPr>
        <w:spacing w:after="0"/>
        <w:jc w:val="center"/>
        <w:rPr>
          <w:rFonts w:cstheme="minorHAnsi"/>
        </w:rPr>
      </w:pPr>
    </w:p>
    <w:p w14:paraId="4C281D31" w14:textId="61F7C86A" w:rsidR="009C5E73" w:rsidRDefault="009C5E73" w:rsidP="0092057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5E73">
        <w:rPr>
          <w:rFonts w:cstheme="minorHAnsi"/>
          <w:b/>
          <w:bCs/>
          <w:sz w:val="32"/>
          <w:szCs w:val="32"/>
        </w:rPr>
        <w:t>Dokument potwierdzający, że zaproponowany przez Wykonawcę sprzęt spełnia parametry techniczne, których Zamawiający wymaga</w:t>
      </w:r>
      <w:r w:rsidR="00E74681">
        <w:rPr>
          <w:rFonts w:cstheme="minorHAnsi"/>
          <w:b/>
          <w:bCs/>
          <w:sz w:val="32"/>
          <w:szCs w:val="32"/>
        </w:rPr>
        <w:t xml:space="preserve"> </w:t>
      </w:r>
      <w:r w:rsidR="0092057F">
        <w:rPr>
          <w:rFonts w:cstheme="minorHAnsi"/>
          <w:b/>
          <w:bCs/>
          <w:sz w:val="32"/>
          <w:szCs w:val="32"/>
        </w:rPr>
        <w:br/>
      </w:r>
      <w:r w:rsidR="00E74681">
        <w:rPr>
          <w:rFonts w:cstheme="minorHAnsi"/>
          <w:b/>
          <w:bCs/>
          <w:sz w:val="32"/>
          <w:szCs w:val="32"/>
        </w:rPr>
        <w:t>i</w:t>
      </w:r>
      <w:r w:rsidRPr="009C5E73">
        <w:rPr>
          <w:rFonts w:cstheme="minorHAnsi"/>
          <w:b/>
          <w:bCs/>
          <w:sz w:val="32"/>
          <w:szCs w:val="32"/>
        </w:rPr>
        <w:t xml:space="preserve"> </w:t>
      </w:r>
      <w:r w:rsidR="00E74681">
        <w:rPr>
          <w:rFonts w:cstheme="minorHAnsi"/>
          <w:b/>
          <w:bCs/>
          <w:sz w:val="32"/>
          <w:szCs w:val="32"/>
        </w:rPr>
        <w:t xml:space="preserve">które </w:t>
      </w:r>
      <w:r w:rsidRPr="009C5E73">
        <w:rPr>
          <w:rFonts w:cstheme="minorHAnsi"/>
          <w:b/>
          <w:bCs/>
          <w:sz w:val="32"/>
          <w:szCs w:val="32"/>
        </w:rPr>
        <w:t>opisane</w:t>
      </w:r>
      <w:r w:rsidR="00E74681">
        <w:rPr>
          <w:rFonts w:cstheme="minorHAnsi"/>
          <w:b/>
          <w:bCs/>
          <w:sz w:val="32"/>
          <w:szCs w:val="32"/>
        </w:rPr>
        <w:t xml:space="preserve"> są</w:t>
      </w:r>
      <w:r w:rsidRPr="009C5E73">
        <w:rPr>
          <w:rFonts w:cstheme="minorHAnsi"/>
          <w:b/>
          <w:bCs/>
          <w:sz w:val="32"/>
          <w:szCs w:val="32"/>
        </w:rPr>
        <w:t xml:space="preserve"> w Szczegółowym Opisie Przedmiotu Zamówienia.</w:t>
      </w:r>
    </w:p>
    <w:p w14:paraId="619B7169" w14:textId="4809E939" w:rsidR="009C5E73" w:rsidRPr="009C5E73" w:rsidRDefault="009C5E73" w:rsidP="009C5E73">
      <w:pPr>
        <w:spacing w:after="0"/>
        <w:jc w:val="center"/>
        <w:rPr>
          <w:rFonts w:cstheme="minorHAnsi"/>
        </w:rPr>
      </w:pPr>
      <w:r>
        <w:rPr>
          <w:rFonts w:cstheme="minorHAnsi"/>
        </w:rPr>
        <w:t>(Wykonawca wypełnia tabele na które składa ofertę i dostarcza niniejszy dokument wraz z ofertą)</w:t>
      </w:r>
    </w:p>
    <w:p w14:paraId="4518862D" w14:textId="77777777" w:rsidR="009C5E73" w:rsidRDefault="009C5E73" w:rsidP="009C5E73">
      <w:pPr>
        <w:spacing w:after="0"/>
        <w:rPr>
          <w:b/>
          <w:bCs/>
        </w:rPr>
      </w:pPr>
    </w:p>
    <w:p w14:paraId="301C63A9" w14:textId="77777777" w:rsidR="009C5E73" w:rsidRDefault="009C5E73" w:rsidP="004574B6">
      <w:pPr>
        <w:spacing w:after="0"/>
        <w:jc w:val="right"/>
        <w:rPr>
          <w:b/>
          <w:bCs/>
        </w:rPr>
      </w:pPr>
    </w:p>
    <w:p w14:paraId="1244A7E2" w14:textId="77777777" w:rsidR="00814759" w:rsidRPr="00814759" w:rsidRDefault="004574B6" w:rsidP="00814759">
      <w:pPr>
        <w:tabs>
          <w:tab w:val="left" w:pos="-2268"/>
          <w:tab w:val="left" w:pos="-567"/>
          <w:tab w:val="left" w:pos="5387"/>
        </w:tabs>
        <w:spacing w:after="0"/>
        <w:jc w:val="center"/>
        <w:rPr>
          <w:rFonts w:eastAsia="Times New Roman" w:cstheme="minorHAnsi"/>
          <w:b/>
          <w:bCs/>
          <w:sz w:val="28"/>
          <w:szCs w:val="28"/>
        </w:rPr>
      </w:pPr>
      <w:r w:rsidRPr="00814759">
        <w:rPr>
          <w:rFonts w:eastAsia="Times New Roman" w:cstheme="minorHAnsi"/>
          <w:b/>
          <w:bCs/>
          <w:sz w:val="28"/>
          <w:szCs w:val="28"/>
        </w:rPr>
        <w:t>„</w:t>
      </w:r>
      <w:r w:rsidR="00814759" w:rsidRPr="00814759">
        <w:rPr>
          <w:rFonts w:eastAsia="Times New Roman" w:cstheme="minorHAnsi"/>
          <w:b/>
          <w:bCs/>
          <w:sz w:val="28"/>
          <w:szCs w:val="28"/>
        </w:rPr>
        <w:t xml:space="preserve">Dostawa koparko-ładowarki z osprzętem w ramach programu </w:t>
      </w:r>
    </w:p>
    <w:p w14:paraId="5633B436" w14:textId="6EE95274" w:rsidR="004574B6" w:rsidRPr="00814759" w:rsidRDefault="00814759" w:rsidP="00814759">
      <w:pPr>
        <w:tabs>
          <w:tab w:val="left" w:pos="-2268"/>
          <w:tab w:val="left" w:pos="-567"/>
          <w:tab w:val="left" w:pos="5387"/>
        </w:tabs>
        <w:spacing w:after="0"/>
        <w:jc w:val="center"/>
        <w:rPr>
          <w:rFonts w:eastAsia="Times New Roman" w:cstheme="minorHAnsi"/>
          <w:b/>
          <w:bCs/>
          <w:sz w:val="28"/>
          <w:szCs w:val="28"/>
        </w:rPr>
      </w:pPr>
      <w:r w:rsidRPr="00814759">
        <w:rPr>
          <w:rFonts w:eastAsia="Times New Roman" w:cstheme="minorHAnsi"/>
          <w:b/>
          <w:bCs/>
          <w:sz w:val="28"/>
          <w:szCs w:val="28"/>
        </w:rPr>
        <w:t>Ochrony Ludności i Obrony Cywilnej na lata 2025-2026</w:t>
      </w:r>
      <w:r w:rsidR="004574B6" w:rsidRPr="00814759">
        <w:rPr>
          <w:rFonts w:eastAsia="Times New Roman" w:cstheme="minorHAnsi"/>
          <w:b/>
          <w:bCs/>
          <w:sz w:val="28"/>
          <w:szCs w:val="28"/>
        </w:rPr>
        <w:t>”</w:t>
      </w:r>
    </w:p>
    <w:p w14:paraId="3CE541ED" w14:textId="77777777" w:rsidR="004574B6" w:rsidRDefault="004574B6" w:rsidP="00814759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5640"/>
        <w:gridCol w:w="3177"/>
      </w:tblGrid>
      <w:tr w:rsidR="004574B6" w:rsidRPr="00D126C2" w14:paraId="06C856B1" w14:textId="77777777" w:rsidTr="004574B6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388526C2" w14:textId="77777777" w:rsidR="004574B6" w:rsidRPr="00201EC7" w:rsidRDefault="004574B6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672CB55E" w14:textId="77777777" w:rsidR="004574B6" w:rsidRPr="00201EC7" w:rsidRDefault="004574B6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3936CFA2" w14:textId="77777777" w:rsidR="004574B6" w:rsidRPr="00D126C2" w:rsidRDefault="004574B6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4574B6" w:rsidRPr="00D126C2" w14:paraId="334E7FF6" w14:textId="77777777" w:rsidTr="004574B6">
        <w:trPr>
          <w:trHeight w:val="510"/>
        </w:trPr>
        <w:tc>
          <w:tcPr>
            <w:tcW w:w="9633" w:type="dxa"/>
            <w:gridSpan w:val="3"/>
          </w:tcPr>
          <w:p w14:paraId="4EB279CD" w14:textId="16F09292" w:rsidR="004574B6" w:rsidRDefault="004574B6" w:rsidP="004574B6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36637BF0" w14:textId="219680EE" w:rsidR="004574B6" w:rsidRDefault="004574B6" w:rsidP="004574B6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5A749EC8" w14:textId="77777777" w:rsidR="004574B6" w:rsidRPr="004574B6" w:rsidRDefault="004574B6" w:rsidP="004574B6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2FF77B79" w14:textId="4208D437" w:rsidR="004574B6" w:rsidRDefault="004574B6" w:rsidP="001B6DFB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CA3EC7F" w14:textId="7759AEC6" w:rsidR="004574B6" w:rsidRDefault="004574B6" w:rsidP="001B6DFB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448AE2B" w14:textId="77777777" w:rsidR="004574B6" w:rsidRPr="00D126C2" w:rsidRDefault="004574B6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4574B6" w:rsidRPr="00D126C2" w14:paraId="0EB1A6A8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58FE020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40" w:type="dxa"/>
            <w:vAlign w:val="center"/>
          </w:tcPr>
          <w:p w14:paraId="5B960AB5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77" w:type="dxa"/>
            <w:vAlign w:val="center"/>
          </w:tcPr>
          <w:p w14:paraId="2625AEDA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4574B6" w:rsidRPr="00C32D60" w14:paraId="5469CBA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0533D1E" w14:textId="77777777" w:rsidR="004574B6" w:rsidRPr="00C32D60" w:rsidRDefault="004574B6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C32D60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40" w:type="dxa"/>
            <w:vAlign w:val="center"/>
          </w:tcPr>
          <w:p w14:paraId="245C89AF" w14:textId="60B13BEC" w:rsidR="004574B6" w:rsidRPr="00C32D60" w:rsidRDefault="00814759" w:rsidP="009C5E73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814759">
              <w:rPr>
                <w:rFonts w:asciiTheme="minorHAnsi" w:hAnsiTheme="minorHAnsi" w:cstheme="minorHAnsi"/>
                <w:iCs/>
              </w:rPr>
              <w:t>Maszyna fabrycznie nowa – rok produkcji 2025</w:t>
            </w:r>
          </w:p>
        </w:tc>
        <w:tc>
          <w:tcPr>
            <w:tcW w:w="3177" w:type="dxa"/>
            <w:vAlign w:val="center"/>
          </w:tcPr>
          <w:p w14:paraId="0D1AB3A0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5C10B3F2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9B7A1C8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40" w:type="dxa"/>
            <w:vAlign w:val="center"/>
          </w:tcPr>
          <w:p w14:paraId="14C6721D" w14:textId="24782951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</w:t>
            </w:r>
            <w:r w:rsidRPr="00814759">
              <w:rPr>
                <w:rFonts w:cstheme="minorHAnsi"/>
                <w:iCs/>
              </w:rPr>
              <w:t xml:space="preserve">oparko-ładowarka kołowa technicznie przystosowana do poruszania się po drogach publicznych (będzie posiadała właściwe oświetlenie, kierunkowskazy, trójkąt ostrzegawczy, pas bezpieczeństwa, lampy ostrzegawcze umieszczone na </w:t>
            </w:r>
            <w:r w:rsidRPr="00814759">
              <w:rPr>
                <w:rFonts w:cstheme="minorHAnsi"/>
                <w:iCs/>
              </w:rPr>
              <w:lastRenderedPageBreak/>
              <w:t>dachu maszyny, prędkościomierz, apteczkę, gaśnicę, deklarację zgodności CE)</w:t>
            </w:r>
          </w:p>
        </w:tc>
        <w:tc>
          <w:tcPr>
            <w:tcW w:w="3177" w:type="dxa"/>
            <w:vAlign w:val="center"/>
          </w:tcPr>
          <w:p w14:paraId="1C149123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lastRenderedPageBreak/>
              <w:t>TAK / NIE *</w:t>
            </w:r>
          </w:p>
        </w:tc>
      </w:tr>
      <w:tr w:rsidR="004574B6" w:rsidRPr="00C32D60" w14:paraId="3C9C05F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7D428A7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40" w:type="dxa"/>
            <w:vAlign w:val="center"/>
          </w:tcPr>
          <w:p w14:paraId="71284B0F" w14:textId="3A261442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</w:t>
            </w:r>
            <w:r w:rsidRPr="00814759">
              <w:rPr>
                <w:rFonts w:cstheme="minorHAnsi"/>
                <w:iCs/>
              </w:rPr>
              <w:t>ałkowita długość robocza koparko-ładowarki maksymalnie 6,0 m</w:t>
            </w:r>
          </w:p>
        </w:tc>
        <w:tc>
          <w:tcPr>
            <w:tcW w:w="3177" w:type="dxa"/>
            <w:vAlign w:val="center"/>
          </w:tcPr>
          <w:p w14:paraId="31D467BA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bookmarkStart w:id="1" w:name="_Hlk208230400"/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  <w:bookmarkEnd w:id="1"/>
          </w:p>
        </w:tc>
      </w:tr>
      <w:tr w:rsidR="004574B6" w:rsidRPr="00C32D60" w14:paraId="04FEB79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89E9653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40" w:type="dxa"/>
            <w:vAlign w:val="center"/>
          </w:tcPr>
          <w:p w14:paraId="06F9B8B6" w14:textId="32F1EEF4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</w:t>
            </w:r>
            <w:r w:rsidRPr="00814759">
              <w:rPr>
                <w:rFonts w:cstheme="minorHAnsi"/>
                <w:iCs/>
              </w:rPr>
              <w:t>asa eksploatacyjna maszyny maksimum 9500 kg</w:t>
            </w:r>
          </w:p>
        </w:tc>
        <w:tc>
          <w:tcPr>
            <w:tcW w:w="3177" w:type="dxa"/>
            <w:vAlign w:val="center"/>
          </w:tcPr>
          <w:p w14:paraId="352FC754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0722D08B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AD6AA33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40" w:type="dxa"/>
            <w:vAlign w:val="center"/>
          </w:tcPr>
          <w:p w14:paraId="584C27CA" w14:textId="235FB5EC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Pr="00814759">
              <w:rPr>
                <w:rFonts w:cstheme="minorHAnsi"/>
                <w:iCs/>
              </w:rPr>
              <w:t xml:space="preserve">ilnik wysokoprężny turbodoładowany o mocy znamionowej brutto minimum 80 kW, spełniający normę emisji spalin </w:t>
            </w:r>
            <w:proofErr w:type="spellStart"/>
            <w:r w:rsidRPr="00814759">
              <w:rPr>
                <w:rFonts w:cstheme="minorHAnsi"/>
                <w:iCs/>
              </w:rPr>
              <w:t>Stage</w:t>
            </w:r>
            <w:proofErr w:type="spellEnd"/>
            <w:r w:rsidRPr="00814759">
              <w:rPr>
                <w:rFonts w:cstheme="minorHAnsi"/>
                <w:iCs/>
              </w:rPr>
              <w:t xml:space="preserve"> V</w:t>
            </w:r>
          </w:p>
        </w:tc>
        <w:tc>
          <w:tcPr>
            <w:tcW w:w="3177" w:type="dxa"/>
            <w:vAlign w:val="center"/>
          </w:tcPr>
          <w:p w14:paraId="7C9F523C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691DCF0A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DA72B01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40" w:type="dxa"/>
            <w:vAlign w:val="center"/>
          </w:tcPr>
          <w:p w14:paraId="71299C47" w14:textId="74CDE8AD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</w:t>
            </w:r>
            <w:r w:rsidRPr="00814759">
              <w:rPr>
                <w:rFonts w:cstheme="minorHAnsi"/>
                <w:iCs/>
              </w:rPr>
              <w:t>ojemność silnika minimum 4,0 litra</w:t>
            </w:r>
          </w:p>
        </w:tc>
        <w:tc>
          <w:tcPr>
            <w:tcW w:w="3177" w:type="dxa"/>
            <w:vAlign w:val="center"/>
          </w:tcPr>
          <w:p w14:paraId="645D449B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76B965AA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79C9F94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40" w:type="dxa"/>
            <w:vAlign w:val="center"/>
          </w:tcPr>
          <w:p w14:paraId="0EA2CEA7" w14:textId="1ABAFB8C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</w:t>
            </w:r>
            <w:r w:rsidRPr="00814759">
              <w:rPr>
                <w:rFonts w:cstheme="minorHAnsi"/>
                <w:iCs/>
              </w:rPr>
              <w:t>oła jezdne: przednie i tylne równe o rozmiarze minimum 28”</w:t>
            </w:r>
          </w:p>
        </w:tc>
        <w:tc>
          <w:tcPr>
            <w:tcW w:w="3177" w:type="dxa"/>
            <w:vAlign w:val="center"/>
          </w:tcPr>
          <w:p w14:paraId="16DEA700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631C1FB9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17E3394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40" w:type="dxa"/>
            <w:vAlign w:val="center"/>
          </w:tcPr>
          <w:p w14:paraId="77CB1D80" w14:textId="42005E26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</w:t>
            </w:r>
            <w:r w:rsidRPr="00814759">
              <w:rPr>
                <w:rFonts w:cstheme="minorHAnsi"/>
                <w:iCs/>
              </w:rPr>
              <w:t>rzednia oś wychylna, przednie koła skrętne, tylne koła skrętne, tryb skrętu krab</w:t>
            </w:r>
          </w:p>
        </w:tc>
        <w:tc>
          <w:tcPr>
            <w:tcW w:w="3177" w:type="dxa"/>
            <w:vAlign w:val="center"/>
          </w:tcPr>
          <w:p w14:paraId="4637BB60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C32D60" w14:paraId="29340AD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8F9F1D8" w14:textId="77777777" w:rsidR="004574B6" w:rsidRPr="00C32D60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40" w:type="dxa"/>
            <w:vAlign w:val="center"/>
          </w:tcPr>
          <w:p w14:paraId="5A32E467" w14:textId="790EA3A9" w:rsidR="004574B6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Pr="00814759">
              <w:rPr>
                <w:rFonts w:cstheme="minorHAnsi"/>
                <w:iCs/>
              </w:rPr>
              <w:t xml:space="preserve">krzynia biegów półautomatyczna lub automatyczna, przełączalna pod obciążeniem, min. 4 biegi w przód, min. </w:t>
            </w:r>
            <w:r w:rsidR="00630497">
              <w:rPr>
                <w:rFonts w:cstheme="minorHAnsi"/>
                <w:iCs/>
              </w:rPr>
              <w:t>3</w:t>
            </w:r>
            <w:r w:rsidRPr="00814759">
              <w:rPr>
                <w:rFonts w:cstheme="minorHAnsi"/>
                <w:iCs/>
              </w:rPr>
              <w:t xml:space="preserve"> biegi  w tył</w:t>
            </w:r>
          </w:p>
        </w:tc>
        <w:tc>
          <w:tcPr>
            <w:tcW w:w="3177" w:type="dxa"/>
            <w:vAlign w:val="center"/>
          </w:tcPr>
          <w:p w14:paraId="6D7128B8" w14:textId="77777777" w:rsidR="004574B6" w:rsidRPr="00C32D60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C32D60" w14:paraId="43DE6EDE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D4B4445" w14:textId="181C814B" w:rsidR="009C5E73" w:rsidRPr="00C32D60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40" w:type="dxa"/>
            <w:vAlign w:val="center"/>
          </w:tcPr>
          <w:p w14:paraId="7B8705DF" w14:textId="3DD784CF" w:rsidR="009C5E73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U</w:t>
            </w:r>
            <w:r w:rsidRPr="00814759">
              <w:rPr>
                <w:rFonts w:cstheme="minorHAnsi"/>
                <w:iCs/>
              </w:rPr>
              <w:t xml:space="preserve">kład hydrauliczny zasilany pompą wielotłoczkową </w:t>
            </w:r>
            <w:bookmarkStart w:id="2" w:name="_Hlk214621581"/>
            <w:r w:rsidRPr="00814759">
              <w:rPr>
                <w:rFonts w:cstheme="minorHAnsi"/>
                <w:iCs/>
              </w:rPr>
              <w:t>o wydajności min 16</w:t>
            </w:r>
            <w:r w:rsidR="0049036D">
              <w:rPr>
                <w:rFonts w:cstheme="minorHAnsi"/>
                <w:iCs/>
              </w:rPr>
              <w:t>3</w:t>
            </w:r>
            <w:r w:rsidRPr="00814759">
              <w:rPr>
                <w:rFonts w:cstheme="minorHAnsi"/>
                <w:iCs/>
              </w:rPr>
              <w:t xml:space="preserve"> litrów/min i ciśnieniu roboczym minimum 250bar</w:t>
            </w:r>
            <w:bookmarkEnd w:id="2"/>
          </w:p>
        </w:tc>
        <w:tc>
          <w:tcPr>
            <w:tcW w:w="3177" w:type="dxa"/>
            <w:vAlign w:val="center"/>
          </w:tcPr>
          <w:p w14:paraId="05F93121" w14:textId="02B272F7" w:rsidR="009C5E73" w:rsidRPr="00C32D60" w:rsidRDefault="009C5E73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C32D60" w14:paraId="48179DA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D354123" w14:textId="4AE0680C" w:rsidR="009C5E73" w:rsidRPr="00C32D60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32D60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40" w:type="dxa"/>
            <w:vAlign w:val="center"/>
          </w:tcPr>
          <w:p w14:paraId="7F10C5A9" w14:textId="46A65322" w:rsidR="009C5E73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Pr="00814759">
              <w:rPr>
                <w:rFonts w:cstheme="minorHAnsi"/>
                <w:iCs/>
              </w:rPr>
              <w:t>tabilizatory tylne niezależne, wysuwane hydraulicznie, podkładki gumowe pod stabilizatory</w:t>
            </w:r>
          </w:p>
        </w:tc>
        <w:tc>
          <w:tcPr>
            <w:tcW w:w="3177" w:type="dxa"/>
            <w:vAlign w:val="center"/>
          </w:tcPr>
          <w:p w14:paraId="417BDE9A" w14:textId="12F11E5D" w:rsidR="009C5E73" w:rsidRPr="00C32D60" w:rsidRDefault="009C5E73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4F1292C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5C17288" w14:textId="6A16488B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12.</w:t>
            </w:r>
          </w:p>
        </w:tc>
        <w:tc>
          <w:tcPr>
            <w:tcW w:w="5640" w:type="dxa"/>
            <w:vAlign w:val="center"/>
          </w:tcPr>
          <w:p w14:paraId="6953901D" w14:textId="35336934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</w:t>
            </w:r>
            <w:r w:rsidRPr="00814759">
              <w:rPr>
                <w:rFonts w:cstheme="minorHAnsi"/>
                <w:iCs/>
              </w:rPr>
              <w:t>łotniki kół przednich i tylnych, skrzynka narzędziowa, immobiliser</w:t>
            </w:r>
          </w:p>
        </w:tc>
        <w:tc>
          <w:tcPr>
            <w:tcW w:w="3177" w:type="dxa"/>
            <w:vAlign w:val="center"/>
          </w:tcPr>
          <w:p w14:paraId="45CC9807" w14:textId="0AEE5F58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5E92E5F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420AFD7" w14:textId="2AA80551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13.</w:t>
            </w:r>
          </w:p>
        </w:tc>
        <w:tc>
          <w:tcPr>
            <w:tcW w:w="5640" w:type="dxa"/>
            <w:vAlign w:val="center"/>
          </w:tcPr>
          <w:p w14:paraId="5506B042" w14:textId="23452ABB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</w:t>
            </w:r>
            <w:r w:rsidRPr="00814759">
              <w:rPr>
                <w:rFonts w:cstheme="minorHAnsi"/>
                <w:iCs/>
              </w:rPr>
              <w:t xml:space="preserve">abina operatora wyposażona w klimatyzację, kabina z pneumatycznym i obrotowym fotelem, spełniająca wymagania konstrukcji ochronnej ROPS i FOPS, poziom hałasu w kabinie do 75 </w:t>
            </w:r>
            <w:proofErr w:type="spellStart"/>
            <w:r w:rsidRPr="00814759">
              <w:rPr>
                <w:rFonts w:cstheme="minorHAnsi"/>
                <w:iCs/>
              </w:rPr>
              <w:t>dB</w:t>
            </w:r>
            <w:proofErr w:type="spellEnd"/>
          </w:p>
        </w:tc>
        <w:tc>
          <w:tcPr>
            <w:tcW w:w="3177" w:type="dxa"/>
            <w:vAlign w:val="center"/>
          </w:tcPr>
          <w:p w14:paraId="7CA4B60E" w14:textId="75CC6218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0619F05F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27ADAF2" w14:textId="6545A955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14.</w:t>
            </w:r>
          </w:p>
        </w:tc>
        <w:tc>
          <w:tcPr>
            <w:tcW w:w="5640" w:type="dxa"/>
            <w:vAlign w:val="center"/>
          </w:tcPr>
          <w:p w14:paraId="3E2E366E" w14:textId="0A14627E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Ś</w:t>
            </w:r>
            <w:r w:rsidRPr="00814759">
              <w:rPr>
                <w:rFonts w:cstheme="minorHAnsi"/>
                <w:iCs/>
              </w:rPr>
              <w:t>wiatła robocze na kabinie – lampy migowe LED – minimum 4 sztuki</w:t>
            </w:r>
          </w:p>
        </w:tc>
        <w:tc>
          <w:tcPr>
            <w:tcW w:w="3177" w:type="dxa"/>
            <w:vAlign w:val="center"/>
          </w:tcPr>
          <w:p w14:paraId="0DEADC81" w14:textId="3CDC3C96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700594D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BE7343F" w14:textId="287FD28F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15.</w:t>
            </w:r>
          </w:p>
        </w:tc>
        <w:tc>
          <w:tcPr>
            <w:tcW w:w="5640" w:type="dxa"/>
            <w:vAlign w:val="center"/>
          </w:tcPr>
          <w:p w14:paraId="3FCC1361" w14:textId="1DCE90DE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</w:t>
            </w:r>
            <w:r w:rsidRPr="00814759">
              <w:rPr>
                <w:rFonts w:cstheme="minorHAnsi"/>
                <w:iCs/>
              </w:rPr>
              <w:t>etalowe osłony tylnych lamp</w:t>
            </w:r>
          </w:p>
        </w:tc>
        <w:tc>
          <w:tcPr>
            <w:tcW w:w="3177" w:type="dxa"/>
            <w:vAlign w:val="center"/>
          </w:tcPr>
          <w:p w14:paraId="13103673" w14:textId="680D28B9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30114EE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D0D29ED" w14:textId="0D54E2FD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16.</w:t>
            </w:r>
          </w:p>
        </w:tc>
        <w:tc>
          <w:tcPr>
            <w:tcW w:w="5640" w:type="dxa"/>
            <w:vAlign w:val="center"/>
          </w:tcPr>
          <w:p w14:paraId="3D0E2BEF" w14:textId="7028A64E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</w:t>
            </w:r>
            <w:r w:rsidRPr="00814759">
              <w:rPr>
                <w:rFonts w:cstheme="minorHAnsi"/>
                <w:iCs/>
              </w:rPr>
              <w:t>lokada zmiennika momentu - system pozwalający na oszczędność paliwa podczas jazdy</w:t>
            </w:r>
            <w:r>
              <w:rPr>
                <w:rFonts w:cstheme="minorHAnsi"/>
                <w:iCs/>
              </w:rPr>
              <w:t xml:space="preserve"> </w:t>
            </w:r>
            <w:r w:rsidRPr="00814759">
              <w:rPr>
                <w:rFonts w:cstheme="minorHAnsi"/>
                <w:iCs/>
              </w:rPr>
              <w:t>i przemieszczania się maszyny</w:t>
            </w:r>
          </w:p>
        </w:tc>
        <w:tc>
          <w:tcPr>
            <w:tcW w:w="3177" w:type="dxa"/>
            <w:vAlign w:val="center"/>
          </w:tcPr>
          <w:p w14:paraId="63B84A8F" w14:textId="5BE02011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61A21B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25682244" w14:textId="645BC501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17.</w:t>
            </w:r>
          </w:p>
        </w:tc>
        <w:tc>
          <w:tcPr>
            <w:tcW w:w="5640" w:type="dxa"/>
            <w:vAlign w:val="center"/>
          </w:tcPr>
          <w:p w14:paraId="26F75BDA" w14:textId="4615B7EB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</w:t>
            </w:r>
            <w:r w:rsidRPr="00814759">
              <w:rPr>
                <w:rFonts w:cstheme="minorHAnsi"/>
                <w:iCs/>
              </w:rPr>
              <w:t>nstalacja hydrauliczna do obsługi młota, uchylnej łyżki skarpowej</w:t>
            </w:r>
          </w:p>
        </w:tc>
        <w:tc>
          <w:tcPr>
            <w:tcW w:w="3177" w:type="dxa"/>
            <w:vAlign w:val="center"/>
          </w:tcPr>
          <w:p w14:paraId="7A8B892B" w14:textId="403B045E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6D7ABDA8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8B5CC10" w14:textId="53C5FBD0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18.</w:t>
            </w:r>
          </w:p>
        </w:tc>
        <w:tc>
          <w:tcPr>
            <w:tcW w:w="5640" w:type="dxa"/>
            <w:vAlign w:val="center"/>
          </w:tcPr>
          <w:p w14:paraId="21626997" w14:textId="71516DCE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</w:t>
            </w:r>
            <w:r w:rsidRPr="00814759">
              <w:rPr>
                <w:rFonts w:cstheme="minorHAnsi"/>
                <w:iCs/>
              </w:rPr>
              <w:t>oparko-ładowarka wyposażona w system nawigacji satelitarnej GPS, z opłaconym abonamentem na okres 60 miesięcy od momentu dostawy sprzętu do Zamawiającego</w:t>
            </w:r>
          </w:p>
        </w:tc>
        <w:tc>
          <w:tcPr>
            <w:tcW w:w="3177" w:type="dxa"/>
            <w:vAlign w:val="center"/>
          </w:tcPr>
          <w:p w14:paraId="57798F49" w14:textId="33235BF9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C7C5375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4491C10" w14:textId="1E0BA9CC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19.</w:t>
            </w:r>
          </w:p>
        </w:tc>
        <w:tc>
          <w:tcPr>
            <w:tcW w:w="5640" w:type="dxa"/>
            <w:vAlign w:val="center"/>
          </w:tcPr>
          <w:p w14:paraId="13C67F36" w14:textId="293C4D26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</w:t>
            </w:r>
            <w:r w:rsidRPr="00814759">
              <w:rPr>
                <w:rFonts w:cstheme="minorHAnsi"/>
                <w:iCs/>
              </w:rPr>
              <w:t xml:space="preserve">aszyna </w:t>
            </w:r>
            <w:r w:rsidR="00612A3C">
              <w:rPr>
                <w:rFonts w:cstheme="minorHAnsi"/>
                <w:iCs/>
              </w:rPr>
              <w:t>posiada</w:t>
            </w:r>
            <w:r w:rsidRPr="00814759">
              <w:rPr>
                <w:rFonts w:cstheme="minorHAnsi"/>
                <w:iCs/>
              </w:rPr>
              <w:t xml:space="preserve"> system zapewniający </w:t>
            </w:r>
            <w:proofErr w:type="spellStart"/>
            <w:r w:rsidRPr="00814759">
              <w:rPr>
                <w:rFonts w:cstheme="minorHAnsi"/>
                <w:iCs/>
              </w:rPr>
              <w:t>samopoziomowanie</w:t>
            </w:r>
            <w:proofErr w:type="spellEnd"/>
            <w:r w:rsidRPr="00814759">
              <w:rPr>
                <w:rFonts w:cstheme="minorHAnsi"/>
                <w:iCs/>
              </w:rPr>
              <w:t xml:space="preserve"> łyżki ładowarkowej oraz układ stabilizacji łyżki ładowarkowej</w:t>
            </w:r>
          </w:p>
        </w:tc>
        <w:tc>
          <w:tcPr>
            <w:tcW w:w="3177" w:type="dxa"/>
            <w:vAlign w:val="center"/>
          </w:tcPr>
          <w:p w14:paraId="410AF596" w14:textId="6E8C206B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4170854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F9623DE" w14:textId="43493CC0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20.</w:t>
            </w:r>
          </w:p>
        </w:tc>
        <w:tc>
          <w:tcPr>
            <w:tcW w:w="5640" w:type="dxa"/>
            <w:vAlign w:val="center"/>
          </w:tcPr>
          <w:p w14:paraId="4DEAD809" w14:textId="5FC5EA16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Pr="00814759">
              <w:rPr>
                <w:rFonts w:cstheme="minorHAnsi"/>
                <w:iCs/>
              </w:rPr>
              <w:t>terowanie ramieniem ładowarkowym za pomocą pojedynczego joysticka</w:t>
            </w:r>
          </w:p>
        </w:tc>
        <w:tc>
          <w:tcPr>
            <w:tcW w:w="3177" w:type="dxa"/>
            <w:vAlign w:val="center"/>
          </w:tcPr>
          <w:p w14:paraId="456EA9AF" w14:textId="10C49538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1DCBFB74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8C83E3C" w14:textId="49C9C2A5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lastRenderedPageBreak/>
              <w:t>21.</w:t>
            </w:r>
          </w:p>
        </w:tc>
        <w:tc>
          <w:tcPr>
            <w:tcW w:w="5640" w:type="dxa"/>
            <w:vAlign w:val="center"/>
          </w:tcPr>
          <w:p w14:paraId="15086415" w14:textId="2C85AF7B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</w:t>
            </w:r>
            <w:r w:rsidRPr="00814759">
              <w:rPr>
                <w:rFonts w:cstheme="minorHAnsi"/>
                <w:iCs/>
              </w:rPr>
              <w:t>osiada układ powrotu łyżki ładowarkowej do pozycji ładowania</w:t>
            </w:r>
          </w:p>
        </w:tc>
        <w:tc>
          <w:tcPr>
            <w:tcW w:w="3177" w:type="dxa"/>
            <w:vAlign w:val="center"/>
          </w:tcPr>
          <w:p w14:paraId="7DF43CC3" w14:textId="609D51FE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309F73B3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F7DF56A" w14:textId="746007A6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22.</w:t>
            </w:r>
          </w:p>
        </w:tc>
        <w:tc>
          <w:tcPr>
            <w:tcW w:w="5640" w:type="dxa"/>
            <w:vAlign w:val="center"/>
          </w:tcPr>
          <w:p w14:paraId="2E3CC909" w14:textId="5FBCA474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Ł</w:t>
            </w:r>
            <w:r w:rsidRPr="00814759">
              <w:rPr>
                <w:rFonts w:cstheme="minorHAnsi"/>
                <w:iCs/>
              </w:rPr>
              <w:t xml:space="preserve">yżka ładowarkowa - dzielona (otwierana), wielofunkcyjna: </w:t>
            </w:r>
            <w:r>
              <w:rPr>
                <w:rFonts w:cstheme="minorHAnsi"/>
                <w:iCs/>
              </w:rPr>
              <w:br/>
            </w:r>
            <w:r w:rsidRPr="00814759">
              <w:rPr>
                <w:rFonts w:cstheme="minorHAnsi"/>
                <w:iCs/>
              </w:rPr>
              <w:t>6 w 1 - możliwość spychania, ładowania, kopania, chwytania, rozściełania i wyrównywania, z zamontowanymi widłami do palet</w:t>
            </w:r>
          </w:p>
        </w:tc>
        <w:tc>
          <w:tcPr>
            <w:tcW w:w="3177" w:type="dxa"/>
            <w:vAlign w:val="center"/>
          </w:tcPr>
          <w:p w14:paraId="6CF93CD4" w14:textId="0E5F7683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670A8599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58744E4" w14:textId="45C9D898" w:rsidR="00814759" w:rsidRPr="00C32D60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23.</w:t>
            </w:r>
          </w:p>
        </w:tc>
        <w:tc>
          <w:tcPr>
            <w:tcW w:w="5640" w:type="dxa"/>
            <w:vAlign w:val="center"/>
          </w:tcPr>
          <w:p w14:paraId="316A9407" w14:textId="1D22401F" w:rsidR="00814759" w:rsidRPr="00C32D60" w:rsidRDefault="00814759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asciiTheme="minorHAnsi" w:eastAsia="Segoe UI" w:hAnsiTheme="minorHAnsi" w:cstheme="minorHAnsi"/>
                <w:color w:val="000000"/>
                <w:kern w:val="3"/>
                <w:lang w:eastAsia="zh-CN" w:bidi="hi-IN"/>
              </w:rPr>
              <w:t>P</w:t>
            </w:r>
            <w:r w:rsidRPr="00B2434E">
              <w:rPr>
                <w:rFonts w:asciiTheme="minorHAnsi" w:eastAsia="Segoe UI" w:hAnsiTheme="minorHAnsi" w:cstheme="minorHAnsi"/>
                <w:color w:val="000000"/>
                <w:kern w:val="3"/>
                <w:lang w:eastAsia="zh-CN" w:bidi="hi-IN"/>
              </w:rPr>
              <w:t>ojemność łyżki ładowarki 1,3 m</w:t>
            </w:r>
            <w:r w:rsidRPr="00B2434E">
              <w:rPr>
                <w:rFonts w:asciiTheme="minorHAnsi" w:eastAsia="Segoe UI" w:hAnsiTheme="minorHAnsi" w:cstheme="minorHAnsi"/>
                <w:color w:val="000000"/>
                <w:kern w:val="3"/>
                <w:vertAlign w:val="superscript"/>
                <w:lang w:eastAsia="zh-CN" w:bidi="hi-IN"/>
              </w:rPr>
              <w:t>3</w:t>
            </w:r>
            <w:r w:rsidRPr="00B2434E">
              <w:rPr>
                <w:rFonts w:asciiTheme="minorHAnsi" w:eastAsia="Segoe UI" w:hAnsiTheme="minorHAnsi" w:cstheme="minorHAnsi"/>
                <w:color w:val="000000"/>
                <w:kern w:val="3"/>
                <w:lang w:eastAsia="zh-CN" w:bidi="hi-IN"/>
              </w:rPr>
              <w:t xml:space="preserve"> z tolerancją ± 0,1 m</w:t>
            </w:r>
            <w:r w:rsidRPr="00B2434E">
              <w:rPr>
                <w:rFonts w:asciiTheme="minorHAnsi" w:eastAsia="Segoe UI" w:hAnsiTheme="minorHAnsi" w:cstheme="minorHAnsi"/>
                <w:color w:val="000000"/>
                <w:kern w:val="3"/>
                <w:vertAlign w:val="superscript"/>
                <w:lang w:eastAsia="zh-CN" w:bidi="hi-IN"/>
              </w:rPr>
              <w:t>3</w:t>
            </w:r>
            <w:r w:rsidRPr="00B2434E">
              <w:rPr>
                <w:rFonts w:asciiTheme="minorHAnsi" w:eastAsia="Segoe UI" w:hAnsiTheme="minorHAnsi" w:cstheme="minorHAnsi"/>
                <w:color w:val="000000"/>
                <w:kern w:val="3"/>
                <w:lang w:eastAsia="zh-CN" w:bidi="hi-IN"/>
              </w:rPr>
              <w:t>, szerokość łyżki do 2,5 m</w:t>
            </w:r>
          </w:p>
        </w:tc>
        <w:tc>
          <w:tcPr>
            <w:tcW w:w="3177" w:type="dxa"/>
            <w:vAlign w:val="center"/>
          </w:tcPr>
          <w:p w14:paraId="60BDA908" w14:textId="7F522F04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7BE1C77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1929593" w14:textId="14EBA324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24.</w:t>
            </w:r>
          </w:p>
        </w:tc>
        <w:tc>
          <w:tcPr>
            <w:tcW w:w="5640" w:type="dxa"/>
            <w:vAlign w:val="center"/>
          </w:tcPr>
          <w:p w14:paraId="4F812070" w14:textId="379880E8" w:rsidR="00814759" w:rsidRDefault="00814759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Ł</w:t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>yżka ładowarkowa wyposażona w osłony główek siłowników</w:t>
            </w:r>
          </w:p>
        </w:tc>
        <w:tc>
          <w:tcPr>
            <w:tcW w:w="3177" w:type="dxa"/>
            <w:vAlign w:val="center"/>
          </w:tcPr>
          <w:p w14:paraId="27C64214" w14:textId="0EE2ABD6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41C526FC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82317F6" w14:textId="3D50CEBE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25.</w:t>
            </w:r>
          </w:p>
        </w:tc>
        <w:tc>
          <w:tcPr>
            <w:tcW w:w="5640" w:type="dxa"/>
            <w:vAlign w:val="center"/>
          </w:tcPr>
          <w:p w14:paraId="455AEEEA" w14:textId="0DFB94F5" w:rsidR="00814759" w:rsidRDefault="00814759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M</w:t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>aksymalna wysokość załadunku minimum 3,0 m</w:t>
            </w:r>
          </w:p>
        </w:tc>
        <w:tc>
          <w:tcPr>
            <w:tcW w:w="3177" w:type="dxa"/>
            <w:vAlign w:val="center"/>
          </w:tcPr>
          <w:p w14:paraId="4C8C69D6" w14:textId="28E6DC21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337ADE79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C3CE669" w14:textId="57D4AD90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26.</w:t>
            </w:r>
          </w:p>
        </w:tc>
        <w:tc>
          <w:tcPr>
            <w:tcW w:w="5640" w:type="dxa"/>
            <w:vAlign w:val="center"/>
          </w:tcPr>
          <w:p w14:paraId="17600ACF" w14:textId="28DDCADF" w:rsidR="00814759" w:rsidRDefault="00814759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U</w:t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dźwig na pełną wysokość w łyżce ładowarkowej minimum </w:t>
            </w: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br/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>4 000 kg</w:t>
            </w:r>
          </w:p>
        </w:tc>
        <w:tc>
          <w:tcPr>
            <w:tcW w:w="3177" w:type="dxa"/>
            <w:vAlign w:val="center"/>
          </w:tcPr>
          <w:p w14:paraId="5A8B77AC" w14:textId="3B9797FC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7B95B745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DBD5462" w14:textId="3EEE27E5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27.</w:t>
            </w:r>
          </w:p>
        </w:tc>
        <w:tc>
          <w:tcPr>
            <w:tcW w:w="5640" w:type="dxa"/>
            <w:vAlign w:val="center"/>
          </w:tcPr>
          <w:p w14:paraId="235B1742" w14:textId="68640CC7" w:rsidR="00814759" w:rsidRDefault="00814759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S</w:t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terowanie ramieniem </w:t>
            </w:r>
            <w:proofErr w:type="spellStart"/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>koparkowym</w:t>
            </w:r>
            <w:proofErr w:type="spellEnd"/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za pomocą joysticków</w:t>
            </w:r>
          </w:p>
        </w:tc>
        <w:tc>
          <w:tcPr>
            <w:tcW w:w="3177" w:type="dxa"/>
            <w:vAlign w:val="center"/>
          </w:tcPr>
          <w:p w14:paraId="789808C7" w14:textId="41AE68A7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0EB73FD7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1DB481C9" w14:textId="2DA3DA47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28.</w:t>
            </w:r>
          </w:p>
        </w:tc>
        <w:tc>
          <w:tcPr>
            <w:tcW w:w="5640" w:type="dxa"/>
            <w:vAlign w:val="center"/>
          </w:tcPr>
          <w:p w14:paraId="30E3ABE6" w14:textId="29E74144" w:rsidR="00814759" w:rsidRDefault="00814759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Ł</w:t>
            </w:r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yżka </w:t>
            </w:r>
            <w:proofErr w:type="spellStart"/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>koparkowa</w:t>
            </w:r>
            <w:proofErr w:type="spellEnd"/>
            <w:r w:rsidRPr="00814759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o szerokości 600 mm ± 20 mm</w:t>
            </w:r>
          </w:p>
        </w:tc>
        <w:tc>
          <w:tcPr>
            <w:tcW w:w="3177" w:type="dxa"/>
            <w:vAlign w:val="center"/>
          </w:tcPr>
          <w:p w14:paraId="29467305" w14:textId="5AF19ACB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730A50D8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F7387E8" w14:textId="1B105534" w:rsidR="00814759" w:rsidRDefault="00814759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29.</w:t>
            </w:r>
          </w:p>
        </w:tc>
        <w:tc>
          <w:tcPr>
            <w:tcW w:w="5640" w:type="dxa"/>
            <w:vAlign w:val="center"/>
          </w:tcPr>
          <w:p w14:paraId="0E31C4B2" w14:textId="34E8D40C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Ł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yżka skarpowa uchylna o szerokości 1400 mm ± 20 mm</w:t>
            </w:r>
          </w:p>
        </w:tc>
        <w:tc>
          <w:tcPr>
            <w:tcW w:w="3177" w:type="dxa"/>
            <w:vAlign w:val="center"/>
          </w:tcPr>
          <w:p w14:paraId="2653AC6B" w14:textId="01CC4C92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84ACD56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3658871" w14:textId="05FBC304" w:rsidR="00814759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30.</w:t>
            </w:r>
          </w:p>
        </w:tc>
        <w:tc>
          <w:tcPr>
            <w:tcW w:w="5640" w:type="dxa"/>
            <w:vAlign w:val="center"/>
          </w:tcPr>
          <w:p w14:paraId="693006C7" w14:textId="269B63DE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I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nstalacja do młota</w:t>
            </w:r>
          </w:p>
        </w:tc>
        <w:tc>
          <w:tcPr>
            <w:tcW w:w="3177" w:type="dxa"/>
            <w:vAlign w:val="center"/>
          </w:tcPr>
          <w:p w14:paraId="7280F52E" w14:textId="15A222F5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7EBE5F04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E0EF365" w14:textId="5A11CD3E" w:rsidR="00814759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31.</w:t>
            </w:r>
          </w:p>
        </w:tc>
        <w:tc>
          <w:tcPr>
            <w:tcW w:w="5640" w:type="dxa"/>
            <w:vAlign w:val="center"/>
          </w:tcPr>
          <w:p w14:paraId="1E9C7489" w14:textId="238FDEAB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I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nstalacja niskiego przepływu</w:t>
            </w:r>
          </w:p>
        </w:tc>
        <w:tc>
          <w:tcPr>
            <w:tcW w:w="3177" w:type="dxa"/>
            <w:vAlign w:val="center"/>
          </w:tcPr>
          <w:p w14:paraId="732F7592" w14:textId="0823C10A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1FB13A28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7E8ADB5" w14:textId="6375F26B" w:rsidR="00814759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32.</w:t>
            </w:r>
          </w:p>
        </w:tc>
        <w:tc>
          <w:tcPr>
            <w:tcW w:w="5640" w:type="dxa"/>
            <w:vAlign w:val="center"/>
          </w:tcPr>
          <w:p w14:paraId="445CCFE5" w14:textId="55F0FE8B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R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amię </w:t>
            </w:r>
            <w:proofErr w:type="spellStart"/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koparkowe</w:t>
            </w:r>
            <w:proofErr w:type="spellEnd"/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o zmiennej długości, rozsuwane hydraulicznie (teleskopowe)</w:t>
            </w:r>
          </w:p>
        </w:tc>
        <w:tc>
          <w:tcPr>
            <w:tcW w:w="3177" w:type="dxa"/>
            <w:vAlign w:val="center"/>
          </w:tcPr>
          <w:p w14:paraId="37A0678C" w14:textId="5EB1514E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4B474882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1A1DD1E7" w14:textId="2C7132B3" w:rsidR="00814759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33.</w:t>
            </w:r>
          </w:p>
        </w:tc>
        <w:tc>
          <w:tcPr>
            <w:tcW w:w="5640" w:type="dxa"/>
            <w:vAlign w:val="center"/>
          </w:tcPr>
          <w:p w14:paraId="050A4C8F" w14:textId="30B21C87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G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łębokość kopania minimum 5,80</w:t>
            </w:r>
          </w:p>
        </w:tc>
        <w:tc>
          <w:tcPr>
            <w:tcW w:w="3177" w:type="dxa"/>
            <w:vAlign w:val="center"/>
          </w:tcPr>
          <w:p w14:paraId="7727C1EB" w14:textId="538911C6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814759" w:rsidRPr="00C32D60" w14:paraId="526BAC1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2767837" w14:textId="55AB90CD" w:rsidR="00814759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34.</w:t>
            </w:r>
          </w:p>
        </w:tc>
        <w:tc>
          <w:tcPr>
            <w:tcW w:w="5640" w:type="dxa"/>
            <w:vAlign w:val="center"/>
          </w:tcPr>
          <w:p w14:paraId="05EEAEED" w14:textId="5590E585" w:rsidR="00814759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W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ysokość załadunku przy złożonym ramieniu (bez wysuwu teleskopowego) minimum 3,5 m</w:t>
            </w:r>
          </w:p>
        </w:tc>
        <w:tc>
          <w:tcPr>
            <w:tcW w:w="3177" w:type="dxa"/>
            <w:vAlign w:val="center"/>
          </w:tcPr>
          <w:p w14:paraId="30B95E84" w14:textId="4C7BBD1C" w:rsidR="00814759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712CAB" w:rsidRPr="00C32D60" w14:paraId="19823F57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7AF5108" w14:textId="1292F5FC" w:rsidR="00712CAB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35.</w:t>
            </w:r>
          </w:p>
        </w:tc>
        <w:tc>
          <w:tcPr>
            <w:tcW w:w="5640" w:type="dxa"/>
            <w:vAlign w:val="center"/>
          </w:tcPr>
          <w:p w14:paraId="7BC47D90" w14:textId="652446E1" w:rsidR="00712CAB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U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dźwig przy złożonym ramieniu (bez wysuwu teleskopowego) minimum 1800 kg</w:t>
            </w:r>
          </w:p>
        </w:tc>
        <w:tc>
          <w:tcPr>
            <w:tcW w:w="3177" w:type="dxa"/>
            <w:vAlign w:val="center"/>
          </w:tcPr>
          <w:p w14:paraId="3C11FF77" w14:textId="4212AF64" w:rsidR="00712CAB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712CAB" w:rsidRPr="00C32D60" w14:paraId="469EDEB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CB16633" w14:textId="6F1F299B" w:rsidR="00712CAB" w:rsidRDefault="00712CAB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36.</w:t>
            </w:r>
          </w:p>
        </w:tc>
        <w:tc>
          <w:tcPr>
            <w:tcW w:w="5640" w:type="dxa"/>
            <w:vAlign w:val="center"/>
          </w:tcPr>
          <w:p w14:paraId="6CAA98A7" w14:textId="0F7A59B7" w:rsidR="00712CAB" w:rsidRDefault="00712CAB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S</w:t>
            </w:r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iła skrawania na łyżce </w:t>
            </w:r>
            <w:proofErr w:type="spellStart"/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koparkowej</w:t>
            </w:r>
            <w:proofErr w:type="spellEnd"/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minimum 60 </w:t>
            </w:r>
            <w:proofErr w:type="spellStart"/>
            <w:r w:rsidRPr="00712CAB">
              <w:rPr>
                <w:rFonts w:eastAsia="Segoe UI" w:cstheme="minorHAnsi"/>
                <w:color w:val="000000"/>
                <w:kern w:val="3"/>
                <w:lang w:eastAsia="zh-CN" w:bidi="hi-IN"/>
              </w:rPr>
              <w:t>kN</w:t>
            </w:r>
            <w:proofErr w:type="spellEnd"/>
          </w:p>
        </w:tc>
        <w:tc>
          <w:tcPr>
            <w:tcW w:w="3177" w:type="dxa"/>
            <w:vAlign w:val="center"/>
          </w:tcPr>
          <w:p w14:paraId="67AF2EAF" w14:textId="61DF6F76" w:rsidR="00712CAB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712CAB" w:rsidRPr="00C32D60" w14:paraId="07767984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D86A3E9" w14:textId="37CC64F1" w:rsidR="00712CAB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</w:t>
            </w:r>
            <w:r w:rsidR="009E4100">
              <w:rPr>
                <w:rFonts w:cstheme="minorHAnsi"/>
                <w:b/>
                <w:bCs/>
                <w:iCs/>
              </w:rPr>
              <w:t>7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714AFF74" w14:textId="142EBE9D" w:rsidR="00712CAB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O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>bsługa serwisowa w okresie gwarancji (materiały, robocizna, dojazd) po stronie dostawcy koparko-ładowarki</w:t>
            </w:r>
          </w:p>
        </w:tc>
        <w:tc>
          <w:tcPr>
            <w:tcW w:w="3177" w:type="dxa"/>
            <w:vAlign w:val="center"/>
          </w:tcPr>
          <w:p w14:paraId="6536EEDD" w14:textId="53C3DD6E" w:rsidR="00712CAB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712CAB" w:rsidRPr="00C32D60" w14:paraId="7588FF24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2A29ED16" w14:textId="136D9B07" w:rsidR="00712CAB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</w:t>
            </w:r>
            <w:r w:rsidR="009E4100">
              <w:rPr>
                <w:rFonts w:cstheme="minorHAnsi"/>
                <w:b/>
                <w:bCs/>
                <w:iCs/>
              </w:rPr>
              <w:t>8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25791F4A" w14:textId="4B915452" w:rsidR="00712CAB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Z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>apewniony serwis gwarancyjny i pogwarancyjny koparko-ładowarki</w:t>
            </w:r>
          </w:p>
        </w:tc>
        <w:tc>
          <w:tcPr>
            <w:tcW w:w="3177" w:type="dxa"/>
            <w:vAlign w:val="center"/>
          </w:tcPr>
          <w:p w14:paraId="32B21980" w14:textId="1C129D74" w:rsidR="00712CAB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CA7BFE" w:rsidRPr="00C32D60" w14:paraId="055B20F3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FA024F5" w14:textId="7C066D1F" w:rsidR="00CA7BFE" w:rsidRDefault="009E4100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39</w:t>
            </w:r>
            <w:r w:rsidR="00CA7BFE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1DB6B913" w14:textId="6D4927C9" w:rsidR="00CA7BFE" w:rsidRDefault="00CA7BFE" w:rsidP="00CA7BFE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D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ostawca </w:t>
            </w:r>
            <w:r w:rsidR="00612A3C">
              <w:rPr>
                <w:rFonts w:eastAsia="Segoe UI" w:cstheme="minorHAnsi"/>
                <w:color w:val="000000"/>
                <w:kern w:val="3"/>
                <w:lang w:eastAsia="zh-CN" w:bidi="hi-IN"/>
              </w:rPr>
              <w:t>jest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producentem lub autoryzowanym przedstawicielem producenta oferowanej koparko-ładowarki</w:t>
            </w:r>
          </w:p>
        </w:tc>
        <w:tc>
          <w:tcPr>
            <w:tcW w:w="3177" w:type="dxa"/>
            <w:vAlign w:val="center"/>
          </w:tcPr>
          <w:p w14:paraId="05E6E13A" w14:textId="112F327A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CA7BFE" w:rsidRPr="00C32D60" w14:paraId="4346BA81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CB34B0C" w14:textId="7EB5CD90" w:rsidR="00CA7BFE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</w:t>
            </w:r>
            <w:r w:rsidR="009E4100">
              <w:rPr>
                <w:rFonts w:cstheme="minorHAnsi"/>
                <w:b/>
                <w:bCs/>
                <w:iCs/>
              </w:rPr>
              <w:t>0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5552BC5D" w14:textId="6F19D4B1" w:rsidR="00CA7BFE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D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ostawca przy dostawie </w:t>
            </w:r>
            <w:r w:rsidR="00612A3C">
              <w:rPr>
                <w:rFonts w:eastAsia="Segoe UI" w:cstheme="minorHAnsi"/>
                <w:color w:val="000000"/>
                <w:kern w:val="3"/>
                <w:lang w:eastAsia="zh-CN" w:bidi="hi-IN"/>
              </w:rPr>
              <w:t>przedstawi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„Deklarację zgodności z CE” na oferowaną koparko-ładowarkę</w:t>
            </w:r>
          </w:p>
        </w:tc>
        <w:tc>
          <w:tcPr>
            <w:tcW w:w="3177" w:type="dxa"/>
            <w:vAlign w:val="center"/>
          </w:tcPr>
          <w:p w14:paraId="62110DAE" w14:textId="5AB022CC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CA7BFE" w:rsidRPr="00C32D60" w14:paraId="5331377B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B76C60D" w14:textId="4220E2DE" w:rsidR="00CA7BFE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</w:t>
            </w:r>
            <w:r w:rsidR="009E4100">
              <w:rPr>
                <w:rFonts w:cstheme="minorHAnsi"/>
                <w:b/>
                <w:bCs/>
                <w:iCs/>
              </w:rPr>
              <w:t>1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6698947F" w14:textId="6D4DE4BF" w:rsidR="00CA7BFE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O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>dległość autoryzowanego stacjonarnego punktu serwisowego nie więcej niż 100km od siedziby zamawiającego</w:t>
            </w:r>
          </w:p>
        </w:tc>
        <w:tc>
          <w:tcPr>
            <w:tcW w:w="3177" w:type="dxa"/>
            <w:vAlign w:val="center"/>
          </w:tcPr>
          <w:p w14:paraId="0685B9B0" w14:textId="3233D9F5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CA7BFE" w:rsidRPr="00C32D60" w14:paraId="5A3CB086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38D3F0B" w14:textId="24CBFBE7" w:rsidR="00CA7BFE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</w:t>
            </w:r>
            <w:r w:rsidR="009E4100">
              <w:rPr>
                <w:rFonts w:cstheme="minorHAnsi"/>
                <w:b/>
                <w:bCs/>
                <w:iCs/>
              </w:rPr>
              <w:t>2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4CB865D5" w14:textId="11068947" w:rsidR="00CA7BFE" w:rsidRDefault="000778F0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Dostawca</w:t>
            </w:r>
            <w:r w:rsidR="009E4100" w:rsidRPr="009E4100">
              <w:rPr>
                <w:rFonts w:eastAsia="Segoe UI" w:cstheme="minorHAnsi"/>
                <w:color w:val="000000"/>
                <w:kern w:val="3"/>
                <w:lang w:eastAsia="zh-CN" w:bidi="hi-IN"/>
              </w:rPr>
              <w:t xml:space="preserve"> zapewnia czas reakcji w przypadku awarii koparko-ładowarki który wynosi maksymalnie 72 godziny od </w:t>
            </w:r>
            <w:r w:rsidR="009E4100" w:rsidRPr="009E4100">
              <w:rPr>
                <w:rFonts w:eastAsia="Segoe UI" w:cstheme="minorHAnsi"/>
                <w:color w:val="000000"/>
                <w:kern w:val="3"/>
                <w:lang w:eastAsia="zh-CN" w:bidi="hi-IN"/>
              </w:rPr>
              <w:lastRenderedPageBreak/>
              <w:t>zgłoszenia licząc w dni robocze, natomiast zakończenie naprawy nastąpi w ciągu 14 dni od daty jej rozpoczęcia</w:t>
            </w:r>
          </w:p>
        </w:tc>
        <w:tc>
          <w:tcPr>
            <w:tcW w:w="3177" w:type="dxa"/>
            <w:vAlign w:val="center"/>
          </w:tcPr>
          <w:p w14:paraId="5927783D" w14:textId="0A3D4A6C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lastRenderedPageBreak/>
              <w:t>TAK / NIE *</w:t>
            </w:r>
          </w:p>
        </w:tc>
      </w:tr>
      <w:tr w:rsidR="00CA7BFE" w:rsidRPr="00C32D60" w14:paraId="5DFB6D34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82EC47C" w14:textId="44DD5371" w:rsidR="00CA7BFE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</w:t>
            </w:r>
            <w:r w:rsidR="009E4100">
              <w:rPr>
                <w:rFonts w:cstheme="minorHAnsi"/>
                <w:b/>
                <w:bCs/>
                <w:iCs/>
              </w:rPr>
              <w:t>3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3534CC9F" w14:textId="14154AB8" w:rsidR="00CA7BFE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O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>ferowana maszyna musi być wyposażona w  radio fabryczne, fabryczny immobiliser oraz w pakiet podstawowy składający się z gaśnicy, trójkąta ostrzegawczego oraz instrukcji obsługi operatora w języku polskim i katalogu części zamiennych</w:t>
            </w:r>
          </w:p>
        </w:tc>
        <w:tc>
          <w:tcPr>
            <w:tcW w:w="3177" w:type="dxa"/>
            <w:vAlign w:val="center"/>
          </w:tcPr>
          <w:p w14:paraId="459AC81A" w14:textId="6C5CD079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CA7BFE" w:rsidRPr="00C32D60" w14:paraId="4D7D2B7B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7F4F1D8" w14:textId="450B9785" w:rsidR="00CA7BFE" w:rsidRDefault="00CA7BFE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</w:t>
            </w:r>
            <w:r w:rsidR="009E4100">
              <w:rPr>
                <w:rFonts w:cstheme="minorHAnsi"/>
                <w:b/>
                <w:bCs/>
                <w:iCs/>
              </w:rPr>
              <w:t>4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40" w:type="dxa"/>
            <w:vAlign w:val="center"/>
          </w:tcPr>
          <w:p w14:paraId="4AEEC648" w14:textId="08ED0DAA" w:rsidR="00CA7BFE" w:rsidRDefault="00CA7BFE" w:rsidP="009C5E73">
            <w:pPr>
              <w:spacing w:line="276" w:lineRule="auto"/>
              <w:jc w:val="both"/>
              <w:rPr>
                <w:rFonts w:eastAsia="Segoe UI" w:cstheme="minorHAnsi"/>
                <w:color w:val="000000"/>
                <w:kern w:val="3"/>
                <w:lang w:eastAsia="zh-CN" w:bidi="hi-IN"/>
              </w:rPr>
            </w:pPr>
            <w:r>
              <w:rPr>
                <w:rFonts w:eastAsia="Segoe UI" w:cstheme="minorHAnsi"/>
                <w:color w:val="000000"/>
                <w:kern w:val="3"/>
                <w:lang w:eastAsia="zh-CN" w:bidi="hi-IN"/>
              </w:rPr>
              <w:t>D</w:t>
            </w:r>
            <w:r w:rsidRPr="00CA7BFE">
              <w:rPr>
                <w:rFonts w:eastAsia="Segoe UI" w:cstheme="minorHAnsi"/>
                <w:color w:val="000000"/>
                <w:kern w:val="3"/>
                <w:lang w:eastAsia="zh-CN" w:bidi="hi-IN"/>
              </w:rPr>
              <w:t>ostawca  przeszkoli w cenie dostawy minimum dwóch operatorów Zamawiającego w zakresie budowy i obsługi koparko ładowarki</w:t>
            </w:r>
          </w:p>
        </w:tc>
        <w:tc>
          <w:tcPr>
            <w:tcW w:w="3177" w:type="dxa"/>
            <w:vAlign w:val="center"/>
          </w:tcPr>
          <w:p w14:paraId="453997B1" w14:textId="3FB6977C" w:rsidR="00CA7BFE" w:rsidRPr="00C32D60" w:rsidRDefault="006C0FEF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C32D60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4C91890A" w14:textId="6EFD2E81" w:rsidR="004574B6" w:rsidRPr="004574B6" w:rsidRDefault="004574B6" w:rsidP="00814759">
      <w:pPr>
        <w:spacing w:after="0"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C32D60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C32D60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 w:rsidRPr="00C32D60">
        <w:rPr>
          <w:rFonts w:cstheme="minorHAnsi"/>
          <w:b/>
          <w:sz w:val="16"/>
          <w:szCs w:val="16"/>
          <w:lang w:eastAsia="pl-PL"/>
        </w:rPr>
        <w:t>Zaznaczyć właściwe lub niewłaściwe należy wykreślić</w:t>
      </w:r>
    </w:p>
    <w:p w14:paraId="4E823480" w14:textId="77777777" w:rsidR="00BB7337" w:rsidRDefault="00BB7337" w:rsidP="004574B6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06432CC9" w14:textId="5B8DC6F7" w:rsidR="004574B6" w:rsidRDefault="004574B6" w:rsidP="004574B6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 w:rsidR="00FC6962">
        <w:rPr>
          <w:rFonts w:asciiTheme="majorHAnsi" w:hAnsiTheme="majorHAnsi" w:cstheme="majorHAnsi"/>
          <w:b/>
          <w:bCs/>
          <w:iCs/>
        </w:rPr>
        <w:t>A KOPARKO-ŁADOWARKA Z OSPRZĘTEM</w:t>
      </w:r>
      <w:r w:rsidRPr="00955426">
        <w:rPr>
          <w:rFonts w:asciiTheme="majorHAnsi" w:hAnsiTheme="majorHAnsi" w:cstheme="majorHAnsi"/>
          <w:b/>
          <w:bCs/>
          <w:iCs/>
        </w:rPr>
        <w:t xml:space="preserve"> SPEŁNIA WSZYSTKIE PARAMETRY TECHNICZNE WYMAGANE PRZEZ ZAMAWIJĄCEGO W WARUNKACH ZAMÓWIENIA.</w:t>
      </w:r>
    </w:p>
    <w:p w14:paraId="2613BF72" w14:textId="77777777" w:rsidR="004574B6" w:rsidRDefault="004574B6" w:rsidP="00814759">
      <w:pPr>
        <w:spacing w:after="0"/>
        <w:jc w:val="both"/>
        <w:rPr>
          <w:b/>
          <w:bCs/>
        </w:rPr>
      </w:pPr>
    </w:p>
    <w:p w14:paraId="6CB1E8CA" w14:textId="77777777" w:rsidR="004574B6" w:rsidRDefault="004574B6" w:rsidP="00DD3196">
      <w:pPr>
        <w:spacing w:after="0"/>
        <w:jc w:val="both"/>
        <w:rPr>
          <w:b/>
          <w:bCs/>
        </w:rPr>
      </w:pPr>
    </w:p>
    <w:p w14:paraId="09494D75" w14:textId="77777777" w:rsidR="00C266DA" w:rsidRDefault="00C266DA" w:rsidP="00DD3196">
      <w:pPr>
        <w:spacing w:after="0"/>
        <w:jc w:val="both"/>
        <w:rPr>
          <w:b/>
          <w:bCs/>
        </w:rPr>
      </w:pPr>
    </w:p>
    <w:p w14:paraId="414FE594" w14:textId="77777777" w:rsidR="00DD3196" w:rsidRPr="00F72951" w:rsidRDefault="00DD3196" w:rsidP="00DD3196">
      <w:pPr>
        <w:suppressAutoHyphens/>
        <w:spacing w:after="0"/>
        <w:ind w:right="138"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…………….…….</w:t>
      </w:r>
      <w:r w:rsidRPr="00F72951">
        <w:rPr>
          <w:rFonts w:eastAsia="Times New Roman" w:cstheme="minorHAnsi"/>
          <w:i/>
          <w:lang w:eastAsia="ar-SA"/>
        </w:rPr>
        <w:t xml:space="preserve">, </w:t>
      </w:r>
      <w:r w:rsidRPr="00F72951">
        <w:rPr>
          <w:rFonts w:eastAsia="Times New Roman" w:cstheme="minorHAnsi"/>
          <w:lang w:eastAsia="ar-SA"/>
        </w:rPr>
        <w:t xml:space="preserve">dnia ………….……. r. </w:t>
      </w:r>
    </w:p>
    <w:p w14:paraId="31274797" w14:textId="77777777" w:rsidR="00DD3196" w:rsidRPr="008D2E73" w:rsidRDefault="00DD3196" w:rsidP="00DD3196">
      <w:pPr>
        <w:tabs>
          <w:tab w:val="left" w:pos="142"/>
          <w:tab w:val="left" w:pos="6237"/>
        </w:tabs>
        <w:suppressAutoHyphens/>
        <w:spacing w:after="0"/>
        <w:ind w:right="138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8D2E73">
        <w:rPr>
          <w:rFonts w:eastAsia="Times New Roman" w:cstheme="minorHAnsi"/>
          <w:sz w:val="16"/>
          <w:szCs w:val="16"/>
          <w:lang w:eastAsia="ar-SA"/>
        </w:rPr>
        <w:tab/>
        <w:t>(</w:t>
      </w:r>
      <w:r w:rsidRPr="008D2E73"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 w:rsidRPr="008D2E73">
        <w:rPr>
          <w:rFonts w:eastAsia="Times New Roman" w:cstheme="minorHAnsi"/>
          <w:sz w:val="16"/>
          <w:szCs w:val="16"/>
          <w:lang w:eastAsia="ar-SA"/>
        </w:rPr>
        <w:tab/>
      </w:r>
      <w:r w:rsidRPr="008D2E73">
        <w:rPr>
          <w:rFonts w:eastAsia="Times New Roman" w:cstheme="minorHAnsi"/>
          <w:sz w:val="16"/>
          <w:szCs w:val="16"/>
          <w:lang w:eastAsia="ar-SA"/>
        </w:rPr>
        <w:tab/>
        <w:t xml:space="preserve">       </w:t>
      </w:r>
    </w:p>
    <w:p w14:paraId="4AF24A1D" w14:textId="77777777" w:rsidR="00DD3196" w:rsidRDefault="00DD3196" w:rsidP="00DD3196">
      <w:pPr>
        <w:widowControl w:val="0"/>
        <w:suppressAutoHyphens/>
        <w:autoSpaceDE w:val="0"/>
        <w:spacing w:after="0"/>
        <w:ind w:right="138"/>
        <w:rPr>
          <w:rFonts w:eastAsia="Times New Roman" w:cstheme="minorHAnsi"/>
          <w:lang w:eastAsia="ar-SA"/>
        </w:rPr>
      </w:pPr>
    </w:p>
    <w:p w14:paraId="4C1227B5" w14:textId="77777777" w:rsidR="00DD3196" w:rsidRPr="00F72951" w:rsidRDefault="00DD3196" w:rsidP="00DD3196">
      <w:pPr>
        <w:widowControl w:val="0"/>
        <w:suppressAutoHyphens/>
        <w:autoSpaceDE w:val="0"/>
        <w:spacing w:after="0"/>
        <w:ind w:right="-3"/>
        <w:rPr>
          <w:rFonts w:eastAsia="Times New Roman" w:cstheme="minorHAnsi"/>
          <w:lang w:eastAsia="ar-SA"/>
        </w:rPr>
      </w:pPr>
    </w:p>
    <w:p w14:paraId="09093556" w14:textId="05055D10" w:rsidR="00DD3196" w:rsidRPr="00C50D9C" w:rsidRDefault="00DD3196" w:rsidP="00C50D9C">
      <w:pPr>
        <w:widowControl w:val="0"/>
        <w:suppressAutoHyphens/>
        <w:autoSpaceDE w:val="0"/>
        <w:spacing w:after="0"/>
        <w:ind w:right="-1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</w:pP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UWAGA: 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Niniejszy dokument </w:t>
      </w:r>
      <w:r w:rsidRPr="00DD3196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>potwierdzający, że zaproponowany przez Wykonawcę sprzęt spełnia parametry techniczne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 </w:t>
      </w: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należy podpisać kwalifikowanym podpisem elektronicznym, podpisem zaufanym lub podpisem osobistym osoby uprawnionej 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br/>
      </w: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>do zaciągania zobowiązań w imieniu Wykonawcy.</w:t>
      </w:r>
    </w:p>
    <w:sectPr w:rsidR="00DD3196" w:rsidRPr="00C50D9C" w:rsidSect="004574B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C4F8" w14:textId="77777777" w:rsidR="00113826" w:rsidRDefault="00113826" w:rsidP="004574B6">
      <w:pPr>
        <w:spacing w:after="0" w:line="240" w:lineRule="auto"/>
      </w:pPr>
      <w:r>
        <w:separator/>
      </w:r>
    </w:p>
  </w:endnote>
  <w:endnote w:type="continuationSeparator" w:id="0">
    <w:p w14:paraId="2149C3C7" w14:textId="77777777" w:rsidR="00113826" w:rsidRDefault="00113826" w:rsidP="0045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145537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8B5E9C" w14:textId="1A962BD6" w:rsidR="004574B6" w:rsidRPr="004574B6" w:rsidRDefault="004574B6">
            <w:pPr>
              <w:pStyle w:val="Stopka"/>
              <w:jc w:val="right"/>
              <w:rPr>
                <w:sz w:val="20"/>
                <w:szCs w:val="20"/>
              </w:rPr>
            </w:pPr>
            <w:r w:rsidRPr="004574B6">
              <w:rPr>
                <w:sz w:val="20"/>
                <w:szCs w:val="20"/>
              </w:rPr>
              <w:t xml:space="preserve">Strona </w:t>
            </w:r>
            <w:r w:rsidRPr="004574B6">
              <w:rPr>
                <w:b/>
                <w:bCs/>
                <w:sz w:val="20"/>
                <w:szCs w:val="20"/>
              </w:rPr>
              <w:fldChar w:fldCharType="begin"/>
            </w:r>
            <w:r w:rsidRPr="004574B6">
              <w:rPr>
                <w:b/>
                <w:bCs/>
                <w:sz w:val="20"/>
                <w:szCs w:val="20"/>
              </w:rPr>
              <w:instrText>PAGE</w:instrText>
            </w:r>
            <w:r w:rsidRPr="004574B6">
              <w:rPr>
                <w:b/>
                <w:bCs/>
                <w:sz w:val="20"/>
                <w:szCs w:val="20"/>
              </w:rPr>
              <w:fldChar w:fldCharType="separate"/>
            </w:r>
            <w:r w:rsidRPr="004574B6">
              <w:rPr>
                <w:b/>
                <w:bCs/>
                <w:sz w:val="20"/>
                <w:szCs w:val="20"/>
              </w:rPr>
              <w:t>2</w:t>
            </w:r>
            <w:r w:rsidRPr="004574B6">
              <w:rPr>
                <w:b/>
                <w:bCs/>
                <w:sz w:val="20"/>
                <w:szCs w:val="20"/>
              </w:rPr>
              <w:fldChar w:fldCharType="end"/>
            </w:r>
            <w:r w:rsidRPr="004574B6">
              <w:rPr>
                <w:sz w:val="20"/>
                <w:szCs w:val="20"/>
              </w:rPr>
              <w:t xml:space="preserve"> z </w:t>
            </w:r>
            <w:r w:rsidRPr="004574B6">
              <w:rPr>
                <w:b/>
                <w:bCs/>
                <w:sz w:val="20"/>
                <w:szCs w:val="20"/>
              </w:rPr>
              <w:fldChar w:fldCharType="begin"/>
            </w:r>
            <w:r w:rsidRPr="004574B6">
              <w:rPr>
                <w:b/>
                <w:bCs/>
                <w:sz w:val="20"/>
                <w:szCs w:val="20"/>
              </w:rPr>
              <w:instrText>NUMPAGES</w:instrText>
            </w:r>
            <w:r w:rsidRPr="004574B6">
              <w:rPr>
                <w:b/>
                <w:bCs/>
                <w:sz w:val="20"/>
                <w:szCs w:val="20"/>
              </w:rPr>
              <w:fldChar w:fldCharType="separate"/>
            </w:r>
            <w:r w:rsidRPr="004574B6">
              <w:rPr>
                <w:b/>
                <w:bCs/>
                <w:sz w:val="20"/>
                <w:szCs w:val="20"/>
              </w:rPr>
              <w:t>2</w:t>
            </w:r>
            <w:r w:rsidRPr="004574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033ECA" w14:textId="77777777" w:rsidR="004574B6" w:rsidRDefault="00457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BE72" w14:textId="77777777" w:rsidR="00113826" w:rsidRDefault="00113826" w:rsidP="004574B6">
      <w:pPr>
        <w:spacing w:after="0" w:line="240" w:lineRule="auto"/>
      </w:pPr>
      <w:r>
        <w:separator/>
      </w:r>
    </w:p>
  </w:footnote>
  <w:footnote w:type="continuationSeparator" w:id="0">
    <w:p w14:paraId="7D852BC1" w14:textId="77777777" w:rsidR="00113826" w:rsidRDefault="00113826" w:rsidP="0045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69EB" w14:textId="08D27044" w:rsidR="004574B6" w:rsidRPr="004574B6" w:rsidRDefault="004574B6">
    <w:pPr>
      <w:pStyle w:val="Nagwek"/>
      <w:rPr>
        <w:sz w:val="20"/>
        <w:szCs w:val="20"/>
      </w:rPr>
    </w:pPr>
    <w:r w:rsidRPr="004574B6">
      <w:rPr>
        <w:sz w:val="20"/>
        <w:szCs w:val="20"/>
      </w:rPr>
      <w:t>Znak sprawy: ZP.271.</w:t>
    </w:r>
    <w:r w:rsidR="00C32D60">
      <w:rPr>
        <w:sz w:val="20"/>
        <w:szCs w:val="20"/>
      </w:rPr>
      <w:t>2</w:t>
    </w:r>
    <w:r w:rsidR="00814759">
      <w:rPr>
        <w:sz w:val="20"/>
        <w:szCs w:val="20"/>
      </w:rPr>
      <w:t>9</w:t>
    </w:r>
    <w:r w:rsidRPr="004574B6">
      <w:rPr>
        <w:sz w:val="20"/>
        <w:szCs w:val="20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1"/>
    <w:rsid w:val="000778F0"/>
    <w:rsid w:val="00086C28"/>
    <w:rsid w:val="00113826"/>
    <w:rsid w:val="001616E2"/>
    <w:rsid w:val="001D057D"/>
    <w:rsid w:val="00244D8F"/>
    <w:rsid w:val="002676EB"/>
    <w:rsid w:val="003F6AB0"/>
    <w:rsid w:val="0040569C"/>
    <w:rsid w:val="004574B6"/>
    <w:rsid w:val="0049036D"/>
    <w:rsid w:val="004E7505"/>
    <w:rsid w:val="00501814"/>
    <w:rsid w:val="00583B6E"/>
    <w:rsid w:val="00612A3C"/>
    <w:rsid w:val="00630497"/>
    <w:rsid w:val="00695A9A"/>
    <w:rsid w:val="006C0FEF"/>
    <w:rsid w:val="00704920"/>
    <w:rsid w:val="00712CAB"/>
    <w:rsid w:val="0074636F"/>
    <w:rsid w:val="007B7E30"/>
    <w:rsid w:val="00814759"/>
    <w:rsid w:val="00820616"/>
    <w:rsid w:val="00846243"/>
    <w:rsid w:val="0092057F"/>
    <w:rsid w:val="009C5E73"/>
    <w:rsid w:val="009E4100"/>
    <w:rsid w:val="00A1320D"/>
    <w:rsid w:val="00A75517"/>
    <w:rsid w:val="00AF7763"/>
    <w:rsid w:val="00B95DA2"/>
    <w:rsid w:val="00BB7337"/>
    <w:rsid w:val="00BD61E2"/>
    <w:rsid w:val="00C266DA"/>
    <w:rsid w:val="00C32D60"/>
    <w:rsid w:val="00C50D9C"/>
    <w:rsid w:val="00C62829"/>
    <w:rsid w:val="00C70E41"/>
    <w:rsid w:val="00CA7BFE"/>
    <w:rsid w:val="00DB3E8D"/>
    <w:rsid w:val="00DC3E52"/>
    <w:rsid w:val="00DD3196"/>
    <w:rsid w:val="00E33DEF"/>
    <w:rsid w:val="00E74681"/>
    <w:rsid w:val="00EB2A70"/>
    <w:rsid w:val="00EB2C0A"/>
    <w:rsid w:val="00EF2E62"/>
    <w:rsid w:val="00F83AF4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CB5B"/>
  <w15:chartTrackingRefBased/>
  <w15:docId w15:val="{623E852A-788A-4CA9-AFEE-24A827A7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E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E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E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E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E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E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E41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C70E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E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E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E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4B6"/>
  </w:style>
  <w:style w:type="paragraph" w:styleId="Stopka">
    <w:name w:val="footer"/>
    <w:basedOn w:val="Normalny"/>
    <w:link w:val="StopkaZnak"/>
    <w:uiPriority w:val="99"/>
    <w:unhideWhenUsed/>
    <w:rsid w:val="004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4B6"/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1"/>
    <w:locked/>
    <w:rsid w:val="004574B6"/>
  </w:style>
  <w:style w:type="table" w:customStyle="1" w:styleId="Tabela-Siatka5">
    <w:name w:val="Tabela - Siatka5"/>
    <w:basedOn w:val="Standardowy"/>
    <w:next w:val="Tabela-Siatka"/>
    <w:uiPriority w:val="39"/>
    <w:rsid w:val="004574B6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5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26</cp:revision>
  <dcterms:created xsi:type="dcterms:W3CDTF">2025-09-11T11:34:00Z</dcterms:created>
  <dcterms:modified xsi:type="dcterms:W3CDTF">2025-11-21T11:58:00Z</dcterms:modified>
</cp:coreProperties>
</file>