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0CEE0" w14:textId="57698C9F"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3CDB1DDE" w14:textId="074484E2" w:rsidR="002353FE" w:rsidRPr="000D15EA"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w:t>
      </w:r>
      <w:r w:rsidR="0099487E">
        <w:rPr>
          <w:rFonts w:asciiTheme="minorHAnsi" w:hAnsiTheme="minorHAnsi" w:cstheme="minorHAnsi"/>
          <w:b/>
          <w:bCs/>
        </w:rPr>
        <w:t xml:space="preserve"> </w:t>
      </w:r>
      <w:r w:rsidR="00530CE6" w:rsidRPr="00530CE6">
        <w:rPr>
          <w:rFonts w:asciiTheme="minorHAnsi" w:hAnsiTheme="minorHAnsi" w:cstheme="minorHAnsi"/>
          <w:b/>
          <w:bCs/>
        </w:rPr>
        <w:t>Dokumentacja projektowo-kosztorysowa przebudowy ul. Słonecznej w miejscowości Szczęsne</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na podstawie art. 275 pkt 1 ustawy z dnia 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późn.</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582A7ED5" w:rsidR="003D0F72" w:rsidRPr="000D15EA" w:rsidRDefault="002353FE" w:rsidP="0099487E">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530CE6" w:rsidRPr="00530CE6">
        <w:rPr>
          <w:rFonts w:asciiTheme="minorHAnsi" w:hAnsiTheme="minorHAnsi" w:cstheme="minorHAnsi"/>
          <w:b/>
        </w:rPr>
        <w:t xml:space="preserve">Dokumentacja projektowo-kosztorysowa przebudowy ul. Słonecznej </w:t>
      </w:r>
      <w:r w:rsidR="00C57D08">
        <w:rPr>
          <w:rFonts w:asciiTheme="minorHAnsi" w:hAnsiTheme="minorHAnsi" w:cstheme="minorHAnsi"/>
          <w:b/>
        </w:rPr>
        <w:br/>
      </w:r>
      <w:r w:rsidR="00530CE6" w:rsidRPr="00530CE6">
        <w:rPr>
          <w:rFonts w:asciiTheme="minorHAnsi" w:hAnsiTheme="minorHAnsi" w:cstheme="minorHAnsi"/>
          <w:b/>
        </w:rPr>
        <w:t>w miejscowości Szczęsne.</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lastRenderedPageBreak/>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3C5DF978" w:rsidR="00530DEE" w:rsidRPr="000D15EA"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00AD41A9" w:rsidRPr="000D15EA">
        <w:rPr>
          <w:rFonts w:asciiTheme="minorHAnsi" w:hAnsiTheme="minorHAnsi" w:cstheme="minorHAnsi"/>
          <w:b/>
          <w:color w:val="000000"/>
        </w:rPr>
        <w:t xml:space="preserve"> </w:t>
      </w:r>
      <w:r w:rsidR="00C57D08">
        <w:rPr>
          <w:rFonts w:asciiTheme="minorHAnsi" w:hAnsiTheme="minorHAnsi" w:cstheme="minorHAnsi"/>
          <w:b/>
          <w:color w:val="000000"/>
        </w:rPr>
        <w:t>6</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742A63C0" w:rsidR="00530DEE"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316A00">
        <w:rPr>
          <w:rFonts w:asciiTheme="minorHAnsi" w:hAnsiTheme="minorHAnsi" w:cstheme="minorHAnsi"/>
        </w:rPr>
        <w:t>;</w:t>
      </w:r>
    </w:p>
    <w:p w14:paraId="282C3C80" w14:textId="77777777" w:rsidR="00316A00" w:rsidRDefault="00316A00" w:rsidP="00316A00">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zatrudnienie osoby wykonującej dokumentację projektowo-kosztorysową 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4419C6B4" w14:textId="77777777" w:rsidR="00316A00" w:rsidRDefault="00316A00" w:rsidP="00316A00">
      <w:pPr>
        <w:tabs>
          <w:tab w:val="left" w:pos="851"/>
        </w:tabs>
        <w:spacing w:line="276" w:lineRule="auto"/>
        <w:ind w:left="851"/>
        <w:jc w:val="both"/>
        <w:rPr>
          <w:rFonts w:asciiTheme="minorHAnsi" w:hAnsiTheme="minorHAnsi" w:cstheme="minorHAnsi"/>
        </w:rPr>
      </w:pPr>
      <w:r>
        <w:rPr>
          <w:rFonts w:asciiTheme="minorHAnsi" w:hAnsiTheme="minorHAnsi" w:cstheme="minorHAnsi"/>
        </w:rPr>
        <w:t>Na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 dokumentacji projektowo-kosztorysowej.</w:t>
      </w:r>
    </w:p>
    <w:p w14:paraId="2BE8B6D1" w14:textId="77777777" w:rsidR="00316A00" w:rsidRDefault="00316A00" w:rsidP="00316A00">
      <w:pPr>
        <w:tabs>
          <w:tab w:val="left" w:pos="851"/>
        </w:tabs>
        <w:spacing w:line="276" w:lineRule="auto"/>
        <w:ind w:left="851"/>
        <w:jc w:val="both"/>
        <w:rPr>
          <w:rFonts w:asciiTheme="minorHAnsi" w:hAnsiTheme="minorHAnsi" w:cstheme="minorHAnsi"/>
        </w:rPr>
      </w:pPr>
      <w:r>
        <w:rPr>
          <w:rFonts w:asciiTheme="minorHAnsi" w:hAnsiTheme="minorHAnsi" w:cstheme="minorHAnsi"/>
        </w:rPr>
        <w:t>W ramach sprawowanych czynności kontrolnych Zamawiający uprawniony jest w szczególności do:</w:t>
      </w:r>
    </w:p>
    <w:p w14:paraId="19BA3816" w14:textId="77777777" w:rsidR="00316A00" w:rsidRDefault="00316A00" w:rsidP="00316A00">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żądania oświadczeń i dokumentów w zakresie potwierdzenia spełniania ww. wymogów i dokonywania ich oceny,</w:t>
      </w:r>
    </w:p>
    <w:p w14:paraId="18065466"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żądania wyjaśnień w przypadku wątpliwości w zakresie potwierdzania spełniania wymogu zatrudnienia;</w:t>
      </w:r>
    </w:p>
    <w:p w14:paraId="45E08D91"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przeprowadzenia kontroli na miejscu wykonywania świadczeń.</w:t>
      </w:r>
    </w:p>
    <w:p w14:paraId="52A3DC93"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7351D8A1"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25F0818A"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i wymiar etatu powinny być możliwe do zidentyfikowania;</w:t>
      </w:r>
    </w:p>
    <w:p w14:paraId="16A65816"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068E0C60" w14:textId="77777777" w:rsidR="00316A00" w:rsidRDefault="00316A00" w:rsidP="00316A00">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anonimizacji;</w:t>
      </w:r>
    </w:p>
    <w:p w14:paraId="127D8430"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xml:space="preserve">- wykaz wszystkich pracowników Wykonawcy/Podwykonawcy, zatrudnionych na podstawie </w:t>
      </w:r>
      <w:r>
        <w:rPr>
          <w:rFonts w:asciiTheme="minorHAnsi" w:hAnsiTheme="minorHAnsi" w:cstheme="minorHAnsi"/>
        </w:rPr>
        <w:lastRenderedPageBreak/>
        <w:t>umowy, którzy uczestniczą w realizacji niniejszego zamówienia. Wykaz winien zawierać co najmniej następujące informacje: imię i nazwisko, termin obowiązywania umowy (od dnia – do dnia), rodzaj /zakres wykonywanych czynności/usług;</w:t>
      </w:r>
    </w:p>
    <w:p w14:paraId="07B60884" w14:textId="1E7E49E2" w:rsidR="00316A00" w:rsidRPr="00316A00" w:rsidRDefault="00316A00" w:rsidP="00316A00">
      <w:pPr>
        <w:tabs>
          <w:tab w:val="left" w:pos="851"/>
        </w:tabs>
        <w:spacing w:line="276" w:lineRule="auto"/>
        <w:ind w:left="851"/>
        <w:jc w:val="both"/>
        <w:rPr>
          <w:rFonts w:asciiTheme="minorHAnsi" w:hAnsiTheme="minorHAnsi" w:cstheme="minorHAnsi"/>
        </w:rPr>
      </w:pPr>
      <w:r>
        <w:rPr>
          <w:rFonts w:asciiTheme="minorHAnsi" w:hAnsiTheme="minorHAnsi" w:cstheme="minorHAnsi"/>
        </w:rPr>
        <w:t>- przepis art. 95 ust. 1 ustawy Pzp. nie znajdzie zastosowania w przypadku osobistego wykonywania zamówienia przez osobę fizyczną, w tym również w przypadku przedsiębiorcy prowadzącego indywidualną działalność gospodarczą.</w:t>
      </w:r>
      <w:bookmarkEnd w:id="0"/>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 xml:space="preserve">prawa te </w:t>
      </w:r>
      <w:r w:rsidRPr="000D15EA">
        <w:rPr>
          <w:rFonts w:asciiTheme="minorHAnsi" w:hAnsiTheme="minorHAnsi" w:cstheme="minorHAnsi"/>
        </w:rPr>
        <w:lastRenderedPageBreak/>
        <w:t>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lastRenderedPageBreak/>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lastRenderedPageBreak/>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99487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i podwykonawców oraz ich opracowania na zasadach Kodeksu cywilnego, przede wszystkim pod </w:t>
      </w:r>
      <w:r w:rsidRPr="000D15EA">
        <w:rPr>
          <w:rFonts w:asciiTheme="minorHAnsi" w:hAnsiTheme="minorHAnsi" w:cstheme="minorHAnsi"/>
        </w:rPr>
        <w:lastRenderedPageBreak/>
        <w:t xml:space="preserve">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99487E">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99487E">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t>
      </w:r>
      <w:r w:rsidRPr="0099487E">
        <w:rPr>
          <w:rFonts w:asciiTheme="minorHAnsi" w:hAnsiTheme="minorHAnsi" w:cstheme="minorHAnsi"/>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lastRenderedPageBreak/>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3. </w:t>
      </w:r>
      <w:r w:rsidRPr="0099487E">
        <w:rPr>
          <w:rFonts w:asciiTheme="minorHAnsi" w:hAnsiTheme="minorHAnsi" w:cstheme="minorHAnsi"/>
          <w:color w:val="auto"/>
          <w:sz w:val="22"/>
          <w:szCs w:val="22"/>
        </w:rPr>
        <w:t>Zmiana osoby pełniącej funkcję kierownika prac</w:t>
      </w:r>
      <w:r w:rsidRPr="000D15EA">
        <w:rPr>
          <w:rFonts w:asciiTheme="minorHAnsi" w:hAnsiTheme="minorHAnsi" w:cstheme="minorHAnsi"/>
          <w:color w:val="auto"/>
          <w:sz w:val="22"/>
          <w:szCs w:val="22"/>
        </w:rPr>
        <w:t xml:space="preserve">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7D90AD7B" w14:textId="7F133EC7" w:rsidR="000D15EA" w:rsidRPr="000D15EA" w:rsidRDefault="00C57D08" w:rsidP="0099487E">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W przypadku wystąpienia przyczyn, o których mowa w ust. 1 i 3-</w:t>
      </w:r>
      <w:r>
        <w:rPr>
          <w:rFonts w:asciiTheme="minorHAnsi" w:hAnsiTheme="minorHAnsi" w:cstheme="minorHAnsi"/>
          <w:color w:val="auto"/>
          <w:sz w:val="22"/>
          <w:szCs w:val="22"/>
        </w:rPr>
        <w:t>7</w:t>
      </w:r>
      <w:r w:rsidR="000D15EA" w:rsidRPr="000D15EA">
        <w:rPr>
          <w:rFonts w:asciiTheme="minorHAnsi" w:hAnsiTheme="minorHAnsi" w:cstheme="minorHAnsi"/>
          <w:color w:val="auto"/>
          <w:sz w:val="22"/>
          <w:szCs w:val="22"/>
        </w:rPr>
        <w:t xml:space="preserve"> Strony uzgodnią powyższe zmiany zawartej umowy w formie aneksu. </w:t>
      </w:r>
    </w:p>
    <w:p w14:paraId="325C54DA" w14:textId="127C694C" w:rsidR="000D15EA" w:rsidRPr="000D15EA" w:rsidRDefault="00C57D08" w:rsidP="0099487E">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9</w:t>
      </w:r>
      <w:r w:rsidR="000D15EA" w:rsidRPr="000D15EA">
        <w:rPr>
          <w:rFonts w:asciiTheme="minorHAnsi" w:hAnsiTheme="minorHAnsi" w:cstheme="minorHAnsi"/>
          <w:b/>
          <w:bCs/>
          <w:color w:val="auto"/>
        </w:rPr>
        <w:t>.</w:t>
      </w:r>
      <w:r w:rsidR="000D15EA"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w:t>
      </w:r>
      <w:r w:rsidRPr="000D15EA">
        <w:rPr>
          <w:rFonts w:asciiTheme="minorHAnsi" w:hAnsiTheme="minorHAnsi" w:cstheme="minorHAnsi"/>
        </w:rPr>
        <w:lastRenderedPageBreak/>
        <w:t>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Pzp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po stronie Wykonawcy,</w:t>
      </w:r>
    </w:p>
    <w:p w14:paraId="1846709E" w14:textId="243062C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w sytuacjach określonych w art. 456 ustawy Pzp.</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lastRenderedPageBreak/>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28AF3A0D" w14:textId="79C7AB5E" w:rsidR="00786CB8" w:rsidRPr="000D15EA" w:rsidRDefault="002943AD" w:rsidP="0099487E">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99487E">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rsidP="0099487E">
      <w:pPr>
        <w:widowControl/>
        <w:autoSpaceDE/>
        <w:autoSpaceDN/>
        <w:spacing w:after="160" w:line="276" w:lineRule="auto"/>
        <w:rPr>
          <w:rFonts w:asciiTheme="minorHAnsi" w:hAnsiTheme="minorHAnsi" w:cstheme="minorHAnsi"/>
          <w:b/>
          <w:bCs/>
        </w:rPr>
      </w:pPr>
    </w:p>
    <w:p w14:paraId="4A8B2D73" w14:textId="62B5A4FA" w:rsidR="00AB71D6" w:rsidRPr="000D15EA" w:rsidRDefault="00AB71D6" w:rsidP="0099487E">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99487E">
      <w:pPr>
        <w:spacing w:line="276" w:lineRule="auto"/>
        <w:jc w:val="right"/>
        <w:rPr>
          <w:rFonts w:asciiTheme="minorHAnsi" w:hAnsiTheme="minorHAnsi" w:cstheme="minorHAnsi"/>
          <w:b/>
          <w:bCs/>
        </w:rPr>
      </w:pPr>
    </w:p>
    <w:p w14:paraId="26682CFD" w14:textId="39E996B1" w:rsidR="00AB71D6" w:rsidRPr="000D15EA" w:rsidRDefault="00BB5BC0" w:rsidP="0099487E">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99487E">
      <w:pPr>
        <w:spacing w:line="276" w:lineRule="auto"/>
        <w:jc w:val="both"/>
        <w:rPr>
          <w:rFonts w:asciiTheme="minorHAnsi" w:hAnsiTheme="minorHAnsi" w:cstheme="minorHAnsi"/>
          <w:b/>
          <w:bCs/>
        </w:rPr>
      </w:pPr>
    </w:p>
    <w:p w14:paraId="1126233E" w14:textId="3B50FF73" w:rsidR="00C371BA" w:rsidRDefault="00530CE6" w:rsidP="0099487E">
      <w:pPr>
        <w:widowControl/>
        <w:tabs>
          <w:tab w:val="left" w:pos="0"/>
        </w:tabs>
        <w:autoSpaceDE/>
        <w:autoSpaceDN/>
        <w:spacing w:line="276" w:lineRule="auto"/>
        <w:ind w:right="118"/>
        <w:jc w:val="center"/>
        <w:rPr>
          <w:rFonts w:asciiTheme="minorHAnsi" w:hAnsiTheme="minorHAnsi" w:cstheme="minorHAnsi"/>
          <w:b/>
          <w:lang w:eastAsia="ar-SA"/>
        </w:rPr>
      </w:pPr>
      <w:r w:rsidRPr="00530CE6">
        <w:rPr>
          <w:rFonts w:asciiTheme="minorHAnsi" w:hAnsiTheme="minorHAnsi" w:cstheme="minorHAnsi"/>
          <w:b/>
          <w:lang w:eastAsia="ar-SA"/>
        </w:rPr>
        <w:t>Dokumentacja projektowo-kosztorysowa przebudowy ul. Słonecznej w miejscowości Szczęsne</w:t>
      </w:r>
      <w:r>
        <w:rPr>
          <w:rFonts w:asciiTheme="minorHAnsi" w:hAnsiTheme="minorHAnsi" w:cstheme="minorHAnsi"/>
          <w:b/>
          <w:lang w:eastAsia="ar-SA"/>
        </w:rPr>
        <w:t>.</w:t>
      </w:r>
    </w:p>
    <w:p w14:paraId="78C04554" w14:textId="77777777" w:rsidR="00501777" w:rsidRPr="00BE39E5" w:rsidRDefault="00501777" w:rsidP="0099487E">
      <w:pPr>
        <w:widowControl/>
        <w:tabs>
          <w:tab w:val="left" w:pos="0"/>
        </w:tabs>
        <w:autoSpaceDE/>
        <w:autoSpaceDN/>
        <w:spacing w:line="276" w:lineRule="auto"/>
        <w:ind w:right="118"/>
        <w:jc w:val="center"/>
        <w:rPr>
          <w:rFonts w:asciiTheme="minorHAnsi" w:hAnsiTheme="minorHAnsi" w:cstheme="minorHAnsi"/>
          <w:b/>
          <w:lang w:eastAsia="ar-SA"/>
        </w:rPr>
      </w:pPr>
    </w:p>
    <w:p w14:paraId="6D810BDC" w14:textId="79B386BD"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Droga objęta zakresem opracowania o długości 400 m. szer. 5 m. Początek drogi gminnej przyjęto od </w:t>
      </w:r>
      <w:r>
        <w:rPr>
          <w:rFonts w:asciiTheme="minorHAnsi" w:hAnsiTheme="minorHAnsi" w:cstheme="minorHAnsi"/>
          <w:bCs/>
          <w:lang w:eastAsia="ar-SA"/>
        </w:rPr>
        <w:br/>
      </w:r>
      <w:r w:rsidRPr="00530CE6">
        <w:rPr>
          <w:rFonts w:asciiTheme="minorHAnsi" w:hAnsiTheme="minorHAnsi" w:cstheme="minorHAnsi"/>
          <w:bCs/>
          <w:lang w:eastAsia="ar-SA"/>
        </w:rPr>
        <w:t xml:space="preserve">ul. Granicznej w Olsztynie, zakończenie plac manewrowy oraz dojazd do nieruchomości dz. 110/55 </w:t>
      </w:r>
      <w:r>
        <w:rPr>
          <w:rFonts w:asciiTheme="minorHAnsi" w:hAnsiTheme="minorHAnsi" w:cstheme="minorHAnsi"/>
          <w:bCs/>
          <w:lang w:eastAsia="ar-SA"/>
        </w:rPr>
        <w:br/>
      </w:r>
      <w:r w:rsidRPr="00530CE6">
        <w:rPr>
          <w:rFonts w:asciiTheme="minorHAnsi" w:hAnsiTheme="minorHAnsi" w:cstheme="minorHAnsi"/>
          <w:bCs/>
          <w:lang w:eastAsia="ar-SA"/>
        </w:rPr>
        <w:t xml:space="preserve">i 110/13. </w:t>
      </w:r>
    </w:p>
    <w:p w14:paraId="0AB0F69A"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Zakres objęty dokumentacją techniczną przedstawia załącznik graficzny – Załącznik nr 5 do SWZ.</w:t>
      </w:r>
    </w:p>
    <w:p w14:paraId="41F13934"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Projektowana droga o nawierzchni jezdni z kostki betonowej wraz z obustronnymi poboczami, dojściami do furtek, wjazdami na nieruchomości oraz zjazdami na drogi wewnętrzne. Kategoria ruchu KR2, zakładana prędkość na terenie zabudowy 40 km/h.</w:t>
      </w:r>
    </w:p>
    <w:p w14:paraId="5E2C4FC3"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Zaprojektować należy odwodnienie drogi przez kanalizację deszczową lub inne rozwiązanie odprowadzające wody opadowe. Zaprojektowane odprowadzenie wód opadowych może wykraczać poza zakres z Załącznika nr 5 do SWZ.</w:t>
      </w:r>
    </w:p>
    <w:p w14:paraId="64FCDDCE"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W liniach rozgraniczających występują:  podziemna linia energetyczna, doziemna linia telekomunikacyjna, sieć wodociągowa, kanalizacja sanitarna, sieć gazociągowa.</w:t>
      </w:r>
    </w:p>
    <w:p w14:paraId="53D60C3D"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Zaprojektować przebudowę kolizji z istniejącą infrastrukturą techniczną zgodnie z warunkami wydanymi przez dysponentów sieci.</w:t>
      </w:r>
    </w:p>
    <w:p w14:paraId="55A06949"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05F3E94B"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Obszar przyjęty do opracowaniem nie jest objęty miejscowego planu zagospodarowania przestrzennego.</w:t>
      </w:r>
    </w:p>
    <w:p w14:paraId="79499891"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p>
    <w:p w14:paraId="176EE6F8"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ETAP 1 – zakres prac:</w:t>
      </w:r>
    </w:p>
    <w:p w14:paraId="149F67FA"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Mapa do celów projektowych – 2 kpl.</w:t>
      </w:r>
    </w:p>
    <w:p w14:paraId="426497EB"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Przygotowanie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2824F1C2"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Opinia Geotechniczna – 2 kpl.</w:t>
      </w:r>
    </w:p>
    <w:p w14:paraId="2C5B5BB8"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Opracowanie projektu koncepcyjnego przebudowy drogi wraz z opisem rozwiązań technicznych – 2 kpl.</w:t>
      </w:r>
    </w:p>
    <w:p w14:paraId="47DA7D2E"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p>
    <w:p w14:paraId="240137A9"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ETAP 2 – zakres prac:</w:t>
      </w:r>
    </w:p>
    <w:p w14:paraId="5DC12217"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r., poz. 682 ze zm.) wraz z niezbędnymi branżami z uwzględnieniem przebudowy </w:t>
      </w:r>
      <w:r w:rsidRPr="00530CE6">
        <w:rPr>
          <w:rFonts w:asciiTheme="minorHAnsi" w:hAnsiTheme="minorHAnsi" w:cstheme="minorHAnsi"/>
          <w:bCs/>
          <w:lang w:eastAsia="ar-SA"/>
        </w:rPr>
        <w:lastRenderedPageBreak/>
        <w:t xml:space="preserve">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kpl., </w:t>
      </w:r>
    </w:p>
    <w:p w14:paraId="5545A213"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opracowanie wszelkich niezbędnych dokumentów wymaganych w celu uzyskania stosownych decyzji, uzgodnień i pozwoleń umożliwiających prowadzenie robót budowlanych,</w:t>
      </w:r>
    </w:p>
    <w:p w14:paraId="6B6784F2"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w razie konieczności również inne ekspertyzy, opracowania, raporty, operaty, opracowania dendrologiczne oraz inne dokumentacje i decyzje administracyjne niezbędne dla zaprojektowania, wybudowania, w tym zgłoszenie/pozwolenia na budowę/ZRiD uruchomienia np. pozwolenie na zajęcie pasa drogowego, pozwolenie na objazdy, na prowadzenie drogi, na rozpoczęcie prac i na zakrycie robót zanikających przy przebudowie obiektów istniejących ,</w:t>
      </w:r>
    </w:p>
    <w:p w14:paraId="7D643424"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opracowanie projektu organizacji ruchu wraz z niezbędnymi opiniami – 5 kpl.,</w:t>
      </w:r>
    </w:p>
    <w:p w14:paraId="08314F94"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kosztorys inwestorski wraz z przedmiarem robót ( dla każdej branży osobno) – 2 kpl.</w:t>
      </w:r>
    </w:p>
    <w:p w14:paraId="66C6960A"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Kosztorys zapisany w pdf. oraz w wersji edytowalnej do programu kosztorysowego posiadanego przez Zamawiającego. Kosztorys inwestorski opracowany zgodnie z Rozporządzeniem Ministra Rozwoju i Technologii z dnia 20 grudnia 2021 r. w sprawie określenia metod i podstaw sporządzenia kosztorysu inwestorskiego, obliczenia planowanych kosztów prac projektowych oraz planowanych kosztów robót budowlanych określonych w programie funkcjonalno – użytkowym,</w:t>
      </w:r>
    </w:p>
    <w:p w14:paraId="6B76DD17"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specyfikacji technicznych wykonania i odbioru robot budowlanych (STWiORB) – 2 kpl.</w:t>
      </w:r>
    </w:p>
    <w:p w14:paraId="4A0CA4EE"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Dokumentacja projektowa powinny spełniać w szczególności wymogi określone w wymaganiach ustawy Prawo budowlane (Dz. U. z 2023r.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z 2022 r., poz. 1679). </w:t>
      </w:r>
    </w:p>
    <w:p w14:paraId="622015C0"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Wykonawca dostarczy dokumentację w formie papierowej i elektronicznej zapisanej: - część tekstowa w pdf. i edytowalnej oraz część rysunkową w pdf i dwg.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rsidP="0099487E">
      <w:pPr>
        <w:widowControl/>
        <w:autoSpaceDE/>
        <w:autoSpaceDN/>
        <w:spacing w:after="160" w:line="276" w:lineRule="auto"/>
        <w:rPr>
          <w:rFonts w:asciiTheme="minorHAnsi" w:hAnsiTheme="minorHAnsi" w:cstheme="minorHAnsi"/>
          <w:b/>
          <w:bCs/>
        </w:rPr>
      </w:pPr>
    </w:p>
    <w:p w14:paraId="638FD57E" w14:textId="13461338" w:rsidR="00BE39E5" w:rsidRDefault="00BE39E5" w:rsidP="0099487E">
      <w:pPr>
        <w:widowControl/>
        <w:autoSpaceDE/>
        <w:autoSpaceDN/>
        <w:spacing w:after="160" w:line="276"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99487E">
      <w:pPr>
        <w:spacing w:line="276" w:lineRule="auto"/>
        <w:rPr>
          <w:rFonts w:asciiTheme="minorHAnsi" w:hAnsiTheme="minorHAnsi" w:cstheme="minorHAnsi"/>
          <w:b/>
          <w:bCs/>
          <w:sz w:val="32"/>
          <w:szCs w:val="32"/>
        </w:rPr>
      </w:pPr>
    </w:p>
    <w:p w14:paraId="4E6FA9AA" w14:textId="1EE1093D" w:rsidR="00BE39E5" w:rsidRPr="00BE39E5" w:rsidRDefault="00BE39E5" w:rsidP="0099487E">
      <w:pPr>
        <w:spacing w:line="276" w:lineRule="auto"/>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99487E">
      <w:pPr>
        <w:tabs>
          <w:tab w:val="left" w:pos="-2268"/>
          <w:tab w:val="left" w:pos="-567"/>
          <w:tab w:val="left" w:pos="5387"/>
        </w:tabs>
        <w:spacing w:line="276" w:lineRule="auto"/>
        <w:jc w:val="center"/>
        <w:rPr>
          <w:rFonts w:asciiTheme="minorHAnsi" w:hAnsiTheme="minorHAnsi" w:cstheme="minorHAnsi"/>
          <w:b/>
          <w:bCs/>
          <w:lang w:eastAsia="pl-PL"/>
        </w:rPr>
      </w:pPr>
    </w:p>
    <w:p w14:paraId="0EC61555" w14:textId="092E580D" w:rsidR="00530CE6" w:rsidRDefault="00530CE6" w:rsidP="00530CE6">
      <w:pPr>
        <w:widowControl/>
        <w:tabs>
          <w:tab w:val="left" w:pos="0"/>
        </w:tabs>
        <w:autoSpaceDE/>
        <w:autoSpaceDN/>
        <w:spacing w:line="276" w:lineRule="auto"/>
        <w:ind w:right="118"/>
        <w:jc w:val="center"/>
        <w:rPr>
          <w:rFonts w:asciiTheme="minorHAnsi" w:hAnsiTheme="minorHAnsi" w:cstheme="minorHAnsi"/>
          <w:b/>
          <w:lang w:eastAsia="ar-SA"/>
        </w:rPr>
      </w:pPr>
      <w:r w:rsidRPr="00530CE6">
        <w:rPr>
          <w:rFonts w:asciiTheme="minorHAnsi" w:hAnsiTheme="minorHAnsi" w:cstheme="minorHAnsi"/>
          <w:b/>
          <w:lang w:eastAsia="ar-SA"/>
        </w:rPr>
        <w:t>Dokumentacja projektowo-kosztorysowa przebudowy ul. Słonecznej w miejscowości Szczęsne</w:t>
      </w:r>
      <w:r>
        <w:rPr>
          <w:rFonts w:asciiTheme="minorHAnsi" w:hAnsiTheme="minorHAnsi" w:cstheme="minorHAnsi"/>
          <w:b/>
          <w:lang w:eastAsia="ar-SA"/>
        </w:rPr>
        <w:t>.</w:t>
      </w:r>
    </w:p>
    <w:p w14:paraId="34055066" w14:textId="0C15E266" w:rsidR="00BE39E5" w:rsidRPr="00BE39E5" w:rsidRDefault="00BE39E5" w:rsidP="0099487E">
      <w:pPr>
        <w:spacing w:line="276" w:lineRule="auto"/>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99487E">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99487E">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99487E">
      <w:pPr>
        <w:spacing w:line="276" w:lineRule="auto"/>
        <w:ind w:left="-284" w:right="-56"/>
        <w:jc w:val="both"/>
        <w:rPr>
          <w:rFonts w:asciiTheme="minorHAnsi" w:hAnsiTheme="minorHAnsi" w:cstheme="minorHAnsi"/>
          <w:b/>
        </w:rPr>
      </w:pPr>
    </w:p>
    <w:p w14:paraId="74103D7F" w14:textId="77777777"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99487E">
      <w:pPr>
        <w:spacing w:line="276" w:lineRule="auto"/>
        <w:ind w:firstLine="4678"/>
        <w:rPr>
          <w:rFonts w:asciiTheme="minorHAnsi" w:hAnsiTheme="minorHAnsi" w:cstheme="minorHAnsi"/>
          <w:b/>
          <w:bCs/>
        </w:rPr>
      </w:pPr>
    </w:p>
    <w:p w14:paraId="2E14372F" w14:textId="06EB13E6"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99487E">
      <w:pPr>
        <w:spacing w:line="276" w:lineRule="auto"/>
        <w:ind w:firstLine="4678"/>
        <w:rPr>
          <w:rFonts w:asciiTheme="minorHAnsi" w:hAnsiTheme="minorHAnsi" w:cstheme="minorHAnsi"/>
          <w:b/>
          <w:bCs/>
        </w:rPr>
      </w:pPr>
    </w:p>
    <w:p w14:paraId="7CB23629" w14:textId="24428D8C" w:rsidR="000D15EA"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6A33" w14:textId="6BE8E77D" w:rsidR="00755FAA" w:rsidRDefault="00755FAA">
    <w:pPr>
      <w:pStyle w:val="Nagwek"/>
    </w:pPr>
  </w:p>
  <w:p w14:paraId="610592C1" w14:textId="4004C3C5"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C57D08">
      <w:rPr>
        <w:rFonts w:asciiTheme="minorHAnsi" w:hAnsiTheme="minorHAnsi" w:cstheme="minorHAnsi"/>
        <w:sz w:val="20"/>
        <w:szCs w:val="20"/>
      </w:rPr>
      <w:t>13</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 w:numId="48" w16cid:durableId="2087460682">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16A00"/>
    <w:rsid w:val="003379EE"/>
    <w:rsid w:val="00343F94"/>
    <w:rsid w:val="00347E98"/>
    <w:rsid w:val="003C685F"/>
    <w:rsid w:val="003D0F72"/>
    <w:rsid w:val="003D1902"/>
    <w:rsid w:val="003F50CD"/>
    <w:rsid w:val="0040021D"/>
    <w:rsid w:val="0046773F"/>
    <w:rsid w:val="004A0E72"/>
    <w:rsid w:val="004B41A6"/>
    <w:rsid w:val="004D3009"/>
    <w:rsid w:val="00501777"/>
    <w:rsid w:val="00530CE6"/>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042AF"/>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487E"/>
    <w:rsid w:val="00997794"/>
    <w:rsid w:val="009A17A6"/>
    <w:rsid w:val="009D6910"/>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371BA"/>
    <w:rsid w:val="00C45B31"/>
    <w:rsid w:val="00C47ACC"/>
    <w:rsid w:val="00C57D08"/>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52994"/>
    <w:rsid w:val="00E60A87"/>
    <w:rsid w:val="00E75764"/>
    <w:rsid w:val="00E94B1D"/>
    <w:rsid w:val="00EB41F0"/>
    <w:rsid w:val="00EB6DD3"/>
    <w:rsid w:val="00EC2D12"/>
    <w:rsid w:val="00EE78EE"/>
    <w:rsid w:val="00F22D0F"/>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16</Pages>
  <Words>6260</Words>
  <Characters>37564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18</cp:revision>
  <dcterms:created xsi:type="dcterms:W3CDTF">2024-02-20T14:48:00Z</dcterms:created>
  <dcterms:modified xsi:type="dcterms:W3CDTF">2024-05-09T09:42:00Z</dcterms:modified>
</cp:coreProperties>
</file>