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3D4D6AE4" w:rsidR="00D53C8B" w:rsidRPr="000D15EA" w:rsidRDefault="00D53C8B" w:rsidP="0099487E">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99487E">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99487E">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99487E">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99487E">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99487E">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99487E">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99487E">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99487E">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99487E">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99487E">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99487E">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99487E">
      <w:pPr>
        <w:pStyle w:val="Tekstpodstawowy"/>
        <w:spacing w:line="276" w:lineRule="auto"/>
        <w:ind w:left="0"/>
        <w:jc w:val="left"/>
        <w:rPr>
          <w:rFonts w:asciiTheme="minorHAnsi" w:hAnsiTheme="minorHAnsi" w:cstheme="minorHAnsi"/>
        </w:rPr>
      </w:pPr>
    </w:p>
    <w:p w14:paraId="3CDB1DDE" w14:textId="5B684601" w:rsidR="002353FE" w:rsidRPr="000D15EA" w:rsidRDefault="00106884" w:rsidP="0099487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99487E">
        <w:rPr>
          <w:rFonts w:asciiTheme="minorHAnsi" w:hAnsiTheme="minorHAnsi" w:cstheme="minorHAnsi"/>
          <w:b/>
          <w:bCs/>
        </w:rPr>
        <w:t xml:space="preserve"> </w:t>
      </w:r>
      <w:r w:rsidR="0099487E" w:rsidRPr="0099487E">
        <w:rPr>
          <w:rFonts w:asciiTheme="minorHAnsi" w:hAnsiTheme="minorHAnsi" w:cstheme="minorHAnsi"/>
          <w:b/>
          <w:bCs/>
        </w:rPr>
        <w:t>Dokumentacja projektowo-kosztorysowa przebudowy dróg gminnych:</w:t>
      </w:r>
      <w:r w:rsidR="0099487E">
        <w:rPr>
          <w:rFonts w:asciiTheme="minorHAnsi" w:hAnsiTheme="minorHAnsi" w:cstheme="minorHAnsi"/>
          <w:b/>
          <w:bCs/>
        </w:rPr>
        <w:t xml:space="preserve"> </w:t>
      </w:r>
      <w:r w:rsidR="0099487E" w:rsidRPr="0099487E">
        <w:rPr>
          <w:rFonts w:asciiTheme="minorHAnsi" w:hAnsiTheme="minorHAnsi" w:cstheme="minorHAnsi"/>
          <w:b/>
          <w:bCs/>
        </w:rPr>
        <w:t>Część I – Dokumentacja projektowo-kosztorysowa przebudowy drogi w Klebarku Mały</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A13B8A">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w:t>
      </w:r>
      <w:proofErr w:type="spellStart"/>
      <w:r w:rsidRPr="000D15EA">
        <w:rPr>
          <w:rFonts w:asciiTheme="minorHAnsi" w:hAnsiTheme="minorHAnsi" w:cstheme="minorHAnsi"/>
        </w:rPr>
        <w:t>późn</w:t>
      </w:r>
      <w:proofErr w:type="spellEnd"/>
      <w:r w:rsidRPr="000D15EA">
        <w:rPr>
          <w:rFonts w:asciiTheme="minorHAnsi" w:hAnsiTheme="minorHAnsi" w:cstheme="minorHAnsi"/>
        </w:rPr>
        <w:t>.</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99487E">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7855F1FC" w:rsidR="003D0F72" w:rsidRPr="000D15EA" w:rsidRDefault="002353FE" w:rsidP="0099487E">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99487E" w:rsidRPr="0099487E">
        <w:rPr>
          <w:rFonts w:asciiTheme="minorHAnsi" w:hAnsiTheme="minorHAnsi" w:cstheme="minorHAnsi"/>
          <w:b/>
        </w:rPr>
        <w:t xml:space="preserve">Część I – Dokumentacja projektowo-kosztorysowa przebudowy drogi </w:t>
      </w:r>
      <w:r w:rsidR="0099487E">
        <w:rPr>
          <w:rFonts w:asciiTheme="minorHAnsi" w:hAnsiTheme="minorHAnsi" w:cstheme="minorHAnsi"/>
          <w:b/>
        </w:rPr>
        <w:br/>
      </w:r>
      <w:r w:rsidR="0099487E" w:rsidRPr="0099487E">
        <w:rPr>
          <w:rFonts w:asciiTheme="minorHAnsi" w:hAnsiTheme="minorHAnsi" w:cstheme="minorHAnsi"/>
          <w:b/>
        </w:rPr>
        <w:t>w Klebarku Mały.</w:t>
      </w:r>
    </w:p>
    <w:p w14:paraId="4D9A8DE9" w14:textId="44F09CD8" w:rsidR="002353FE" w:rsidRPr="000D15EA" w:rsidRDefault="002353FE" w:rsidP="0099487E">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99487E">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99487E">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99487E">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99487E">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99487E">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99487E">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99487E">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99487E">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99487E">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99487E">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99487E">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99487E">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99487E">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99487E">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99487E">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99487E">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99487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99487E">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99487E">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99487E">
      <w:pPr>
        <w:pStyle w:val="Nagwek1"/>
        <w:spacing w:line="276" w:lineRule="auto"/>
        <w:jc w:val="left"/>
        <w:rPr>
          <w:rFonts w:asciiTheme="minorHAnsi" w:hAnsiTheme="minorHAnsi" w:cstheme="minorHAnsi"/>
        </w:rPr>
      </w:pPr>
    </w:p>
    <w:p w14:paraId="218CC3B5" w14:textId="67F1A580"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99487E">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99487E">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99487E">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99487E">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99487E">
      <w:pPr>
        <w:spacing w:line="276" w:lineRule="auto"/>
        <w:jc w:val="both"/>
        <w:rPr>
          <w:rFonts w:asciiTheme="minorHAnsi" w:hAnsiTheme="minorHAnsi" w:cstheme="minorHAnsi"/>
        </w:rPr>
      </w:pPr>
    </w:p>
    <w:p w14:paraId="6F902A24" w14:textId="016EC569"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99487E">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99487E">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99487E">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99487E">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99487E">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99487E">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99487E">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99487E">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99487E">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99487E">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odpowiada za zgodność rozwiązań dokumentacji z przepisami </w:t>
      </w:r>
      <w:proofErr w:type="spellStart"/>
      <w:r w:rsidRPr="000D15EA">
        <w:rPr>
          <w:rFonts w:asciiTheme="minorHAnsi" w:hAnsiTheme="minorHAnsi" w:cstheme="minorHAnsi"/>
        </w:rPr>
        <w:t>techniczno</w:t>
      </w:r>
      <w:proofErr w:type="spellEnd"/>
      <w:r w:rsidRPr="000D15EA">
        <w:rPr>
          <w:rFonts w:asciiTheme="minorHAnsi" w:hAnsiTheme="minorHAnsi" w:cstheme="minorHAnsi"/>
        </w:rPr>
        <w:t xml:space="preserve">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99487E">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99487E">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99487E">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99487E">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99487E">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99487E">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99487E">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99487E">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99487E">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99487E">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99487E">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99487E">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99487E">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99487E">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99487E">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99487E">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99487E">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99487E">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99487E">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99487E">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99487E">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99487E">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99487E">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99487E">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99487E">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99487E">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99487E">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99487E">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99487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99487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99487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99487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99487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99487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99487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99487E">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99487E">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99487E">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99487E">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99487E">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99487E">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99487E">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99487E">
      <w:pPr>
        <w:tabs>
          <w:tab w:val="left" w:pos="479"/>
        </w:tabs>
        <w:spacing w:line="276" w:lineRule="auto"/>
        <w:ind w:right="105"/>
        <w:rPr>
          <w:rFonts w:asciiTheme="minorHAnsi" w:hAnsiTheme="minorHAnsi" w:cstheme="minorHAnsi"/>
        </w:rPr>
      </w:pPr>
    </w:p>
    <w:p w14:paraId="559C47FB" w14:textId="4B0659DC"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99487E">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99487E">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99487E">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99487E">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99487E">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99487E">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99487E">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99487E">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99487E">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99487E">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99487E">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99487E">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99487E">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99487E">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99487E">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99487E">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99487E">
      <w:pPr>
        <w:tabs>
          <w:tab w:val="left" w:pos="460"/>
        </w:tabs>
        <w:spacing w:line="276" w:lineRule="auto"/>
        <w:ind w:right="109"/>
        <w:rPr>
          <w:rFonts w:asciiTheme="minorHAnsi" w:hAnsiTheme="minorHAnsi" w:cstheme="minorHAnsi"/>
        </w:rPr>
      </w:pPr>
    </w:p>
    <w:p w14:paraId="1ED5B3C9" w14:textId="55838FCE" w:rsidR="00530DEE" w:rsidRPr="000D15EA" w:rsidRDefault="00530DEE" w:rsidP="0099487E">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99487E">
        <w:rPr>
          <w:rFonts w:asciiTheme="minorHAnsi" w:hAnsiTheme="minorHAnsi" w:cstheme="minorHAnsi"/>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99487E">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99487E">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99487E">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99487E">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99487E">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99487E">
        <w:rPr>
          <w:rFonts w:asciiTheme="minorHAnsi" w:hAnsiTheme="minorHAnsi" w:cstheme="minorHAnsi"/>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 xml:space="preserve">3. </w:t>
      </w:r>
      <w:r w:rsidRPr="0099487E">
        <w:rPr>
          <w:rFonts w:asciiTheme="minorHAnsi" w:hAnsiTheme="minorHAnsi" w:cstheme="minorHAnsi"/>
          <w:color w:val="auto"/>
          <w:sz w:val="22"/>
          <w:szCs w:val="22"/>
        </w:rPr>
        <w:t>Zmiana osoby pełniącej funkcję kierownika prac</w:t>
      </w:r>
      <w:r w:rsidRPr="000D15EA">
        <w:rPr>
          <w:rFonts w:asciiTheme="minorHAnsi" w:hAnsiTheme="minorHAnsi" w:cstheme="minorHAnsi"/>
          <w:color w:val="auto"/>
          <w:sz w:val="22"/>
          <w:szCs w:val="22"/>
        </w:rPr>
        <w:t xml:space="preserve">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99487E">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99487E">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99487E">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99487E">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99487E">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99487E">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99487E">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99487E">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99487E">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99487E">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99487E">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99487E">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99487E">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99487E">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99487E">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99487E">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99487E">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99487E">
      <w:pPr>
        <w:spacing w:line="276" w:lineRule="auto"/>
        <w:rPr>
          <w:rFonts w:asciiTheme="minorHAnsi" w:hAnsiTheme="minorHAnsi" w:cstheme="minorHAnsi"/>
        </w:rPr>
      </w:pPr>
    </w:p>
    <w:p w14:paraId="7454DAFC" w14:textId="609A438E" w:rsidR="00D30688" w:rsidRPr="000D15EA" w:rsidRDefault="00D30688"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99487E">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w:t>
      </w:r>
      <w:proofErr w:type="spellStart"/>
      <w:r w:rsidRPr="000D15EA">
        <w:rPr>
          <w:rFonts w:asciiTheme="minorHAnsi" w:hAnsiTheme="minorHAnsi" w:cstheme="minorHAnsi"/>
        </w:rPr>
        <w:t>Pzp</w:t>
      </w:r>
      <w:proofErr w:type="spellEnd"/>
      <w:r w:rsidRPr="000D15EA">
        <w:rPr>
          <w:rFonts w:asciiTheme="minorHAnsi" w:hAnsiTheme="minorHAnsi" w:cstheme="minorHAnsi"/>
        </w:rPr>
        <w:t xml:space="preserve">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99487E">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 xml:space="preserve">w sytuacjach określonych w art. 456 ustawy </w:t>
      </w:r>
      <w:proofErr w:type="spellStart"/>
      <w:r w:rsidRPr="000D15EA">
        <w:rPr>
          <w:rFonts w:asciiTheme="minorHAnsi" w:hAnsiTheme="minorHAnsi" w:cstheme="minorHAnsi"/>
        </w:rPr>
        <w:t>Pzp</w:t>
      </w:r>
      <w:proofErr w:type="spellEnd"/>
      <w:r w:rsidRPr="000D15EA">
        <w:rPr>
          <w:rFonts w:asciiTheme="minorHAnsi" w:hAnsiTheme="minorHAnsi" w:cstheme="minorHAnsi"/>
        </w:rPr>
        <w:t>.</w:t>
      </w:r>
    </w:p>
    <w:p w14:paraId="5DEDBE0E" w14:textId="12895E73"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99487E">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99487E">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99487E">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99487E">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99487E">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99487E">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99487E">
      <w:pPr>
        <w:pStyle w:val="Nagwek1"/>
        <w:spacing w:line="276" w:lineRule="auto"/>
        <w:jc w:val="both"/>
        <w:rPr>
          <w:rFonts w:asciiTheme="minorHAnsi" w:hAnsiTheme="minorHAnsi" w:cstheme="minorHAnsi"/>
        </w:rPr>
      </w:pPr>
    </w:p>
    <w:p w14:paraId="18CD25C1" w14:textId="0AABE57E" w:rsidR="002943AD" w:rsidRPr="000D15EA" w:rsidRDefault="002943AD" w:rsidP="0099487E">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99487E">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99487E">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99487E">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99487E">
      <w:pPr>
        <w:pStyle w:val="Nagwek1"/>
        <w:spacing w:line="276" w:lineRule="auto"/>
        <w:ind w:left="0"/>
        <w:jc w:val="both"/>
        <w:rPr>
          <w:rFonts w:asciiTheme="minorHAnsi" w:hAnsiTheme="minorHAnsi" w:cstheme="minorHAnsi"/>
        </w:rPr>
      </w:pPr>
    </w:p>
    <w:p w14:paraId="28AF3A0D" w14:textId="79C7AB5E" w:rsidR="00786CB8" w:rsidRPr="000D15EA" w:rsidRDefault="002943AD" w:rsidP="0099487E">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99487E">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99487E">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99487E">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99487E">
      <w:pPr>
        <w:spacing w:line="276" w:lineRule="auto"/>
        <w:jc w:val="right"/>
        <w:rPr>
          <w:rFonts w:asciiTheme="minorHAnsi" w:hAnsiTheme="minorHAnsi" w:cstheme="minorHAnsi"/>
          <w:b/>
          <w:bCs/>
        </w:rPr>
      </w:pPr>
    </w:p>
    <w:p w14:paraId="26682CFD" w14:textId="39E996B1" w:rsidR="00AB71D6" w:rsidRPr="000D15EA" w:rsidRDefault="00BB5BC0" w:rsidP="0099487E">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99487E">
      <w:pPr>
        <w:spacing w:line="276" w:lineRule="auto"/>
        <w:jc w:val="both"/>
        <w:rPr>
          <w:rFonts w:asciiTheme="minorHAnsi" w:hAnsiTheme="minorHAnsi" w:cstheme="minorHAnsi"/>
          <w:b/>
          <w:bCs/>
        </w:rPr>
      </w:pPr>
    </w:p>
    <w:p w14:paraId="726B46EE" w14:textId="537B3778"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08C46D30" w14:textId="52DFE544" w:rsidR="00BE39E5"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Część I – Dokumentacja projektowo-kosztorysowa przebudowy drogi w Klebarku Mały</w:t>
      </w:r>
    </w:p>
    <w:p w14:paraId="63B0FEE0" w14:textId="77777777" w:rsidR="0099487E" w:rsidRPr="00BE39E5"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p>
    <w:p w14:paraId="277EA9C5"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Droga objęta zakresem opracowania o długości 750 m (dz. nr 235/5, 239/73, 224/2, </w:t>
      </w:r>
      <w:proofErr w:type="spellStart"/>
      <w:r w:rsidRPr="0099487E">
        <w:rPr>
          <w:rFonts w:asciiTheme="minorHAnsi" w:hAnsiTheme="minorHAnsi" w:cstheme="minorHAnsi"/>
          <w:bCs/>
          <w:lang w:eastAsia="ar-SA"/>
        </w:rPr>
        <w:t>obr</w:t>
      </w:r>
      <w:proofErr w:type="spellEnd"/>
      <w:r w:rsidRPr="0099487E">
        <w:rPr>
          <w:rFonts w:asciiTheme="minorHAnsi" w:hAnsiTheme="minorHAnsi" w:cstheme="minorHAnsi"/>
          <w:bCs/>
          <w:lang w:eastAsia="ar-SA"/>
        </w:rPr>
        <w:t>. Klebark Mały, gm. Purda). Początek drogi gminnej przyjęto na skrzyżowaniu z drogą gminną wewnętrzną zlokalizowaną na dz. nr 239/73. Koniec opracowania drogi gminnej przyjęto na skrzyżowaniu z drogą gminną wewnętrzną zlokalizowaną na dz. nr 224/2. Projektowana droga o nawierzchni jezdni z kostki betonowej  wraz z obustronnymi utwardzonymi poboczami, dojściami do furtek, wjazdami na nieruchomości oraz zjazdami na drogi wewnętrzne. Kategoria ruchu KR2, zakładana prędkość na terenie zabudowy 40 km/h. Zaprojektować należy odwodnienie drogi poprzez kanalizację deszczową, rowy lub inne rozwiązanie.</w:t>
      </w:r>
    </w:p>
    <w:p w14:paraId="4143B9C4"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W liniach rozgraniczających występują: podziemna linia energetyczna, doziemna linia telekomunikacyjna, sieć wodociągowa, kanalizacja sanitarna, sieć gazowa.</w:t>
      </w:r>
    </w:p>
    <w:p w14:paraId="5E3A6DD1"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Zaprojektować przebudowę kolizji z istniejącą infrastrukturą techniczną zgodnie z warunkami wydanymi przez dysponentów sieci.</w:t>
      </w:r>
    </w:p>
    <w:p w14:paraId="0293CE0F"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7B54D4D6"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Obszar przyjęty do opracowania  nie posiada miejscowego planu zagospodarowania przestrzennego.</w:t>
      </w:r>
    </w:p>
    <w:p w14:paraId="00760937"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Zakres objęty dokumentacją techniczną przedstawia załącznik graficzny – Załącznik nr 5 do SWZ.</w:t>
      </w:r>
    </w:p>
    <w:p w14:paraId="4B4C2393"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p>
    <w:p w14:paraId="42FD98C4"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ETAP I – zakres prac:</w:t>
      </w:r>
    </w:p>
    <w:p w14:paraId="15DA7EC2"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Mapa do celów projektowych – 2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w:t>
      </w:r>
    </w:p>
    <w:p w14:paraId="7A3D8D00"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Przygotowanie mapy sytuacyjno-wysokościowej do celów projektowych z przeprowadzeniem uzgodnień/potwierdzeń u poszczególnych gestorów uzbrojenia, dotyczących zlokalizowania istniejących obiektów budowlanych przedstawionych na podkładach geodezyjnych.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26571F81"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Opinia Geotechniczna – 2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w:t>
      </w:r>
    </w:p>
    <w:p w14:paraId="77605DEB"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Opracowanie projektu koncepcyjnego budowy drogi wraz z opisem rozwiązań technicznych – 2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w:t>
      </w:r>
    </w:p>
    <w:p w14:paraId="46FFFA34"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p>
    <w:p w14:paraId="652E8437"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ETAP II – zakres prac:</w:t>
      </w:r>
    </w:p>
    <w:p w14:paraId="44931E54"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w:t>
      </w:r>
      <w:r w:rsidRPr="0099487E">
        <w:rPr>
          <w:rFonts w:asciiTheme="minorHAnsi" w:hAnsiTheme="minorHAnsi" w:cstheme="minorHAnsi"/>
          <w:bCs/>
          <w:lang w:eastAsia="ar-SA"/>
        </w:rPr>
        <w:lastRenderedPageBreak/>
        <w:t xml:space="preserve">Budowlane (Dz. U. z 2023 r., poz. 682 ze zm.)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 xml:space="preserve">., </w:t>
      </w:r>
    </w:p>
    <w:p w14:paraId="5AFF4904"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0EA109C1"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99487E">
        <w:rPr>
          <w:rFonts w:asciiTheme="minorHAnsi" w:hAnsiTheme="minorHAnsi" w:cstheme="minorHAnsi"/>
          <w:bCs/>
          <w:lang w:eastAsia="ar-SA"/>
        </w:rPr>
        <w:t>ZRiD</w:t>
      </w:r>
      <w:proofErr w:type="spellEnd"/>
      <w:r w:rsidRPr="0099487E">
        <w:rPr>
          <w:rFonts w:asciiTheme="minorHAnsi" w:hAnsiTheme="minorHAnsi" w:cstheme="minorHAnsi"/>
          <w:bCs/>
          <w:lang w:eastAsia="ar-SA"/>
        </w:rPr>
        <w:t xml:space="preserve"> uruchomienia np. pozwolenie na zajęcie pasa drogowego, pozwolenie na objazdy, na prowadzenie drogi, na rozpoczęcie prac i na zakrycie robót zanikających przy przebudowie obiektów istniejących,</w:t>
      </w:r>
    </w:p>
    <w:p w14:paraId="52FFE8C9"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 opracowanie projektu organizacji ruchu wraz z niezbędnymi opiniami – 5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w:t>
      </w:r>
    </w:p>
    <w:p w14:paraId="3E923F49"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 kosztorys inwestorski wraz z przedmiarem robót ( dla każdej branży osobno) – 2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w:t>
      </w:r>
    </w:p>
    <w:p w14:paraId="0B92AC50"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Kosztorys zapisany w pdf. oraz w wersji edytowalnej do programu kosztorysowego posiadanego przez Zamawiającego. Kosztorys inwestorski opracowany zgodnie z Rozporządzeniem Ministra Rozwoju i Technologii z dnia 20 grudnia 2021 r. w sprawie określenia metod i podstaw sporządzenia kosztorysu inwestorskiego, obliczenia planowanych kosztów prac projektowych oraz planowanych kosztów robót budowlanych określonych w programie funkcjonalno-użytkowym,</w:t>
      </w:r>
    </w:p>
    <w:p w14:paraId="14E935E8"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specyfikacji technicznych wykonania i odbioru robot budowlanych (</w:t>
      </w:r>
      <w:proofErr w:type="spellStart"/>
      <w:r w:rsidRPr="0099487E">
        <w:rPr>
          <w:rFonts w:asciiTheme="minorHAnsi" w:hAnsiTheme="minorHAnsi" w:cstheme="minorHAnsi"/>
          <w:bCs/>
          <w:lang w:eastAsia="ar-SA"/>
        </w:rPr>
        <w:t>STWiORB</w:t>
      </w:r>
      <w:proofErr w:type="spellEnd"/>
      <w:r w:rsidRPr="0099487E">
        <w:rPr>
          <w:rFonts w:asciiTheme="minorHAnsi" w:hAnsiTheme="minorHAnsi" w:cstheme="minorHAnsi"/>
          <w:bCs/>
          <w:lang w:eastAsia="ar-SA"/>
        </w:rPr>
        <w:t xml:space="preserve">) – 2 </w:t>
      </w:r>
      <w:proofErr w:type="spellStart"/>
      <w:r w:rsidRPr="0099487E">
        <w:rPr>
          <w:rFonts w:asciiTheme="minorHAnsi" w:hAnsiTheme="minorHAnsi" w:cstheme="minorHAnsi"/>
          <w:bCs/>
          <w:lang w:eastAsia="ar-SA"/>
        </w:rPr>
        <w:t>kpl</w:t>
      </w:r>
      <w:proofErr w:type="spellEnd"/>
      <w:r w:rsidRPr="0099487E">
        <w:rPr>
          <w:rFonts w:asciiTheme="minorHAnsi" w:hAnsiTheme="minorHAnsi" w:cstheme="minorHAnsi"/>
          <w:bCs/>
          <w:lang w:eastAsia="ar-SA"/>
        </w:rPr>
        <w:t>.</w:t>
      </w:r>
    </w:p>
    <w:p w14:paraId="51C5CBA3"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Dokumentacja projektowa powinny spełniać w szczególności wymogi określone w wymaganiach ustawy Prawo budowlane (Dz. U. 2023 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2022 r., poz. 1679). </w:t>
      </w:r>
    </w:p>
    <w:p w14:paraId="2C221B8F" w14:textId="77777777" w:rsidR="0099487E" w:rsidRPr="0099487E" w:rsidRDefault="0099487E" w:rsidP="0099487E">
      <w:pPr>
        <w:widowControl/>
        <w:tabs>
          <w:tab w:val="left" w:pos="15"/>
        </w:tabs>
        <w:autoSpaceDE/>
        <w:autoSpaceDN/>
        <w:spacing w:line="276" w:lineRule="auto"/>
        <w:ind w:right="118"/>
        <w:jc w:val="both"/>
        <w:rPr>
          <w:rFonts w:asciiTheme="minorHAnsi" w:hAnsiTheme="minorHAnsi" w:cstheme="minorHAnsi"/>
          <w:bCs/>
          <w:lang w:eastAsia="ar-SA"/>
        </w:rPr>
      </w:pPr>
      <w:r w:rsidRPr="0099487E">
        <w:rPr>
          <w:rFonts w:asciiTheme="minorHAnsi" w:hAnsiTheme="minorHAnsi" w:cstheme="minorHAnsi"/>
          <w:bCs/>
          <w:lang w:eastAsia="ar-SA"/>
        </w:rPr>
        <w:t xml:space="preserve">Wykonawca dostarczy dokumentację w formie papierowej i elektronicznej zapisanej: - część tekstowa w pdf i edytowalnej oraz część rysunkową w pdf i </w:t>
      </w:r>
      <w:proofErr w:type="spellStart"/>
      <w:r w:rsidRPr="0099487E">
        <w:rPr>
          <w:rFonts w:asciiTheme="minorHAnsi" w:hAnsiTheme="minorHAnsi" w:cstheme="minorHAnsi"/>
          <w:bCs/>
          <w:lang w:eastAsia="ar-SA"/>
        </w:rPr>
        <w:t>dwg</w:t>
      </w:r>
      <w:proofErr w:type="spellEnd"/>
      <w:r w:rsidRPr="0099487E">
        <w:rPr>
          <w:rFonts w:asciiTheme="minorHAnsi" w:hAnsiTheme="minorHAnsi" w:cstheme="minorHAnsi"/>
          <w:bCs/>
          <w:lang w:eastAsia="ar-SA"/>
        </w:rPr>
        <w:t>.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rsidP="0099487E">
      <w:pPr>
        <w:widowControl/>
        <w:autoSpaceDE/>
        <w:autoSpaceDN/>
        <w:spacing w:after="160" w:line="276" w:lineRule="auto"/>
        <w:rPr>
          <w:rFonts w:asciiTheme="minorHAnsi" w:hAnsiTheme="minorHAnsi" w:cstheme="minorHAnsi"/>
          <w:b/>
          <w:bCs/>
        </w:rPr>
      </w:pPr>
    </w:p>
    <w:p w14:paraId="638FD57E" w14:textId="13461338" w:rsidR="00BE39E5" w:rsidRDefault="00BE39E5" w:rsidP="0099487E">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99487E">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99487E">
      <w:pPr>
        <w:spacing w:line="276" w:lineRule="auto"/>
        <w:rPr>
          <w:rFonts w:asciiTheme="minorHAnsi" w:hAnsiTheme="minorHAnsi" w:cstheme="minorHAnsi"/>
          <w:b/>
          <w:bCs/>
          <w:sz w:val="32"/>
          <w:szCs w:val="32"/>
        </w:rPr>
      </w:pPr>
    </w:p>
    <w:p w14:paraId="4E6FA9AA" w14:textId="1EE1093D" w:rsidR="00BE39E5" w:rsidRPr="00BE39E5" w:rsidRDefault="00BE39E5" w:rsidP="0099487E">
      <w:pPr>
        <w:spacing w:line="276" w:lineRule="auto"/>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99487E">
      <w:pPr>
        <w:tabs>
          <w:tab w:val="left" w:pos="-2268"/>
          <w:tab w:val="left" w:pos="-567"/>
          <w:tab w:val="left" w:pos="5387"/>
        </w:tabs>
        <w:spacing w:line="276" w:lineRule="auto"/>
        <w:jc w:val="center"/>
        <w:rPr>
          <w:rFonts w:asciiTheme="minorHAnsi" w:hAnsiTheme="minorHAnsi" w:cstheme="minorHAnsi"/>
          <w:b/>
          <w:bCs/>
          <w:lang w:eastAsia="pl-PL"/>
        </w:rPr>
      </w:pPr>
    </w:p>
    <w:p w14:paraId="0C1DB149" w14:textId="77777777"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Dokumentacja projektowo-kosztorysowa przebudowy dróg gminnych:</w:t>
      </w:r>
    </w:p>
    <w:p w14:paraId="6A26F63D" w14:textId="77777777" w:rsidR="0099487E" w:rsidRDefault="0099487E" w:rsidP="0099487E">
      <w:pPr>
        <w:widowControl/>
        <w:tabs>
          <w:tab w:val="left" w:pos="0"/>
        </w:tabs>
        <w:autoSpaceDE/>
        <w:autoSpaceDN/>
        <w:spacing w:line="276" w:lineRule="auto"/>
        <w:ind w:right="118"/>
        <w:jc w:val="center"/>
        <w:rPr>
          <w:rFonts w:asciiTheme="minorHAnsi" w:hAnsiTheme="minorHAnsi" w:cstheme="minorHAnsi"/>
          <w:b/>
          <w:lang w:eastAsia="ar-SA"/>
        </w:rPr>
      </w:pPr>
      <w:r w:rsidRPr="0099487E">
        <w:rPr>
          <w:rFonts w:asciiTheme="minorHAnsi" w:hAnsiTheme="minorHAnsi" w:cstheme="minorHAnsi"/>
          <w:b/>
          <w:lang w:eastAsia="ar-SA"/>
        </w:rPr>
        <w:t>Część I – Dokumentacja projektowo-kosztorysowa przebudowy drogi w Klebarku Mały</w:t>
      </w:r>
    </w:p>
    <w:p w14:paraId="34055066" w14:textId="77777777" w:rsidR="00BE39E5" w:rsidRPr="00BE39E5" w:rsidRDefault="00BE39E5" w:rsidP="0099487E">
      <w:pPr>
        <w:spacing w:line="276" w:lineRule="auto"/>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99487E">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99487E">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99487E">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99487E">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99487E">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99487E">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99487E">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99487E">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99487E">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99487E">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99487E">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99487E">
      <w:pPr>
        <w:spacing w:line="276" w:lineRule="auto"/>
        <w:ind w:left="-284" w:right="-56"/>
        <w:jc w:val="both"/>
        <w:rPr>
          <w:rFonts w:asciiTheme="minorHAnsi" w:hAnsiTheme="minorHAnsi" w:cstheme="minorHAnsi"/>
          <w:b/>
        </w:rPr>
      </w:pPr>
    </w:p>
    <w:p w14:paraId="74103D7F" w14:textId="77777777"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99487E">
      <w:pPr>
        <w:spacing w:line="276" w:lineRule="auto"/>
        <w:ind w:firstLine="4678"/>
        <w:rPr>
          <w:rFonts w:asciiTheme="minorHAnsi" w:hAnsiTheme="minorHAnsi" w:cstheme="minorHAnsi"/>
          <w:b/>
          <w:bCs/>
        </w:rPr>
      </w:pPr>
    </w:p>
    <w:p w14:paraId="2E14372F" w14:textId="06EB13E6" w:rsidR="00BE39E5"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99487E">
      <w:pPr>
        <w:spacing w:line="276" w:lineRule="auto"/>
        <w:ind w:firstLine="4678"/>
        <w:rPr>
          <w:rFonts w:asciiTheme="minorHAnsi" w:hAnsiTheme="minorHAnsi" w:cstheme="minorHAnsi"/>
          <w:b/>
          <w:bCs/>
        </w:rPr>
      </w:pPr>
    </w:p>
    <w:p w14:paraId="7CB23629" w14:textId="24428D8C" w:rsidR="000D15EA" w:rsidRPr="00BE39E5" w:rsidRDefault="00BE39E5" w:rsidP="0099487E">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60D62C4A"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99487E">
      <w:rPr>
        <w:rFonts w:asciiTheme="minorHAnsi" w:hAnsiTheme="minorHAnsi" w:cstheme="minorHAnsi"/>
        <w:sz w:val="20"/>
        <w:szCs w:val="20"/>
      </w:rPr>
      <w:t>5</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16</Pages>
  <Words>5986</Words>
  <Characters>35917</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12</cp:revision>
  <dcterms:created xsi:type="dcterms:W3CDTF">2024-02-20T14:48:00Z</dcterms:created>
  <dcterms:modified xsi:type="dcterms:W3CDTF">2024-02-26T11:08:00Z</dcterms:modified>
</cp:coreProperties>
</file>