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D25D3A">
      <w:pPr>
        <w:keepNext/>
        <w:keepLines/>
        <w:ind w:left="320" w:hanging="300"/>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D25D3A">
      <w:pPr>
        <w:keepNext/>
        <w:keepLines/>
        <w:ind w:left="320" w:hanging="300"/>
        <w:outlineLvl w:val="3"/>
        <w:rPr>
          <w:rFonts w:asciiTheme="minorHAnsi" w:eastAsia="Arial Unicode MS" w:hAnsiTheme="minorHAnsi" w:cstheme="minorHAnsi"/>
          <w:b/>
          <w:bCs/>
          <w:color w:val="FF0000"/>
        </w:rPr>
      </w:pPr>
    </w:p>
    <w:p w:rsidR="00D25D3A" w:rsidRPr="00D25D3A" w:rsidRDefault="00D25D3A" w:rsidP="00D25D3A">
      <w:pPr>
        <w:tabs>
          <w:tab w:val="left" w:leader="dot" w:pos="6166"/>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UMOWA </w:t>
      </w:r>
      <w:r w:rsidR="00834F80">
        <w:rPr>
          <w:rFonts w:asciiTheme="minorHAnsi" w:eastAsia="Arial Unicode MS" w:hAnsiTheme="minorHAnsi" w:cstheme="minorHAnsi"/>
        </w:rPr>
        <w:t>O</w:t>
      </w:r>
      <w:r w:rsidRPr="00D25D3A">
        <w:rPr>
          <w:rFonts w:asciiTheme="minorHAnsi" w:eastAsia="Arial Unicode MS" w:hAnsiTheme="minorHAnsi" w:cstheme="minorHAnsi"/>
        </w:rPr>
        <w:t xml:space="preserve"> ROBOTY BUDOWLANE NR ………………………….</w:t>
      </w:r>
    </w:p>
    <w:p w:rsidR="00D25D3A" w:rsidRPr="00D25D3A" w:rsidRDefault="00D25D3A" w:rsidP="00D25D3A">
      <w:pPr>
        <w:tabs>
          <w:tab w:val="left" w:leader="dot" w:pos="5738"/>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zawarta w dniu ………………………… </w:t>
      </w:r>
      <w:r w:rsidRPr="00D25D3A">
        <w:rPr>
          <w:rFonts w:asciiTheme="minorHAnsi" w:eastAsia="Arial Unicode MS" w:hAnsiTheme="minorHAnsi" w:cstheme="minorHAnsi"/>
          <w:i/>
          <w:iCs/>
        </w:rPr>
        <w:t>r.</w:t>
      </w:r>
      <w:r w:rsidRPr="00D25D3A">
        <w:rPr>
          <w:rFonts w:asciiTheme="minorHAnsi" w:eastAsia="Arial Unicode MS" w:hAnsiTheme="minorHAnsi" w:cstheme="minorHAnsi"/>
        </w:rPr>
        <w:t xml:space="preserve"> w Prostkach</w:t>
      </w:r>
    </w:p>
    <w:p w:rsidR="00D25D3A" w:rsidRPr="00D25D3A" w:rsidRDefault="00D25D3A" w:rsidP="00D25D3A">
      <w:pPr>
        <w:ind w:left="320" w:hanging="300"/>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D25D3A">
      <w:pPr>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D25D3A">
      <w:pPr>
        <w:tabs>
          <w:tab w:val="left" w:leader="dot" w:pos="8631"/>
        </w:tabs>
        <w:ind w:left="320" w:hanging="300"/>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D25D3A">
      <w:pPr>
        <w:tabs>
          <w:tab w:val="left" w:leader="dot" w:pos="8631"/>
        </w:tabs>
        <w:ind w:left="320" w:hanging="300"/>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D25D3A">
      <w:pPr>
        <w:tabs>
          <w:tab w:val="left" w:leader="dot" w:pos="2043"/>
          <w:tab w:val="left" w:leader="dot" w:pos="4686"/>
        </w:tabs>
        <w:ind w:left="320" w:hanging="300"/>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D25D3A">
      <w:pPr>
        <w:ind w:left="324" w:hanging="301"/>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D25D3A">
      <w:pPr>
        <w:ind w:left="324" w:hanging="301"/>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D25D3A">
      <w:pPr>
        <w:ind w:left="320" w:hanging="300"/>
        <w:rPr>
          <w:rFonts w:asciiTheme="minorHAnsi" w:eastAsia="Arial Unicode MS" w:hAnsiTheme="minorHAnsi" w:cstheme="minorHAnsi"/>
          <w:i/>
          <w:iCs/>
        </w:rPr>
      </w:pP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 </w:t>
      </w:r>
      <w:r w:rsidRPr="00D25D3A">
        <w:rPr>
          <w:rFonts w:asciiTheme="minorHAnsi" w:eastAsia="Arial Unicode MS" w:hAnsiTheme="minorHAnsi" w:cstheme="minorHAnsi"/>
          <w:b/>
          <w:bCs/>
          <w:spacing w:val="60"/>
        </w:rPr>
        <w:t>§1</w:t>
      </w:r>
    </w:p>
    <w:p w:rsidR="00D25D3A" w:rsidRPr="00D25D3A" w:rsidRDefault="00D25D3A" w:rsidP="00D25D3A">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Umowa została zawarta w wyniku przeprowadzenia postępowania o udzielenie zamówienia publicznego znak RI.271.2.2017 w trybie przetargu nieograniczonego zgodnie z art. 39 ustawy z dnia 29 stycznia 2004 r. Prawo zamówień publicznych, zwanej dalej ustawą (tj. Dz. U. z 2015 r poz. 2164 ze zm.).</w:t>
      </w:r>
    </w:p>
    <w:p w:rsidR="00D25D3A" w:rsidRPr="00D25D3A" w:rsidRDefault="00D25D3A" w:rsidP="00D25D3A">
      <w:pPr>
        <w:ind w:left="40" w:right="20"/>
        <w:jc w:val="both"/>
        <w:rPr>
          <w:rFonts w:asciiTheme="minorHAnsi" w:eastAsia="Arial Unicode MS" w:hAnsiTheme="minorHAnsi" w:cstheme="minorHAnsi"/>
        </w:rPr>
      </w:pPr>
    </w:p>
    <w:p w:rsidR="00D25D3A" w:rsidRPr="00D25D3A" w:rsidRDefault="00D25D3A" w:rsidP="00D25D3A">
      <w:pPr>
        <w:spacing w:before="120" w:after="120"/>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D25D3A">
      <w:pPr>
        <w:spacing w:before="120" w:after="120"/>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8B4903" w:rsidRPr="008B4903" w:rsidRDefault="00D25D3A" w:rsidP="008B4903">
      <w:pPr>
        <w:numPr>
          <w:ilvl w:val="0"/>
          <w:numId w:val="12"/>
        </w:numPr>
        <w:tabs>
          <w:tab w:val="clear" w:pos="360"/>
        </w:tabs>
        <w:spacing w:before="120" w:after="200"/>
        <w:contextualSpacing/>
        <w:jc w:val="center"/>
        <w:rPr>
          <w:rFonts w:asciiTheme="minorHAnsi" w:eastAsia="Calibri" w:hAnsiTheme="minorHAnsi" w:cstheme="minorHAnsi"/>
          <w:lang w:eastAsia="zh-CN"/>
        </w:rPr>
      </w:pPr>
      <w:r w:rsidRPr="00D25D3A">
        <w:rPr>
          <w:rFonts w:asciiTheme="minorHAnsi" w:eastAsia="Arial Unicode MS" w:hAnsiTheme="minorHAnsi" w:cstheme="minorHAnsi"/>
          <w:b/>
          <w:bCs/>
          <w:noProof/>
          <w:lang w:eastAsia="en-US"/>
        </w:rPr>
        <w:t xml:space="preserve">Zamawiający zleca, a Wykonawca przyjmuje do wykonania </w:t>
      </w:r>
      <w:r w:rsidRPr="00D25D3A">
        <w:rPr>
          <w:rFonts w:asciiTheme="minorHAnsi" w:hAnsiTheme="minorHAnsi" w:cstheme="minorHAnsi"/>
          <w:noProof/>
          <w:lang w:eastAsia="en-US"/>
        </w:rPr>
        <w:t>roboty budowlane i branżowe :</w:t>
      </w:r>
      <w:r w:rsidRPr="00D25D3A">
        <w:rPr>
          <w:rFonts w:asciiTheme="minorHAnsi" w:hAnsiTheme="minorHAnsi" w:cstheme="minorHAnsi"/>
          <w:b/>
          <w:bCs/>
          <w:smallCaps/>
          <w:noProof/>
          <w:spacing w:val="5"/>
          <w:lang w:eastAsia="en-US"/>
        </w:rPr>
        <w:t xml:space="preserve"> </w:t>
      </w:r>
    </w:p>
    <w:p w:rsidR="008B4903" w:rsidRPr="008B4903" w:rsidRDefault="008B4903" w:rsidP="008B4903">
      <w:pPr>
        <w:spacing w:before="120" w:after="200"/>
        <w:contextualSpacing/>
        <w:rPr>
          <w:rFonts w:asciiTheme="minorHAnsi" w:eastAsia="Calibri" w:hAnsiTheme="minorHAnsi" w:cstheme="minorHAnsi"/>
          <w:lang w:eastAsia="zh-CN"/>
        </w:rPr>
      </w:pPr>
    </w:p>
    <w:p w:rsidR="008B4903" w:rsidRDefault="008B4903" w:rsidP="008B4903">
      <w:pPr>
        <w:spacing w:before="120" w:after="200"/>
        <w:ind w:left="360"/>
        <w:contextualSpacing/>
        <w:jc w:val="center"/>
        <w:rPr>
          <w:rFonts w:asciiTheme="minorHAnsi" w:eastAsia="Calibri" w:hAnsiTheme="minorHAnsi" w:cstheme="minorHAnsi"/>
          <w:lang w:eastAsia="zh-CN"/>
        </w:rPr>
      </w:pPr>
      <w:r w:rsidRPr="00031F26">
        <w:rPr>
          <w:rFonts w:asciiTheme="minorHAnsi" w:hAnsiTheme="minorHAnsi" w:cstheme="minorHAnsi"/>
          <w:b/>
          <w:bCs/>
          <w:smallCaps/>
          <w:spacing w:val="5"/>
        </w:rPr>
        <w:t>„</w:t>
      </w:r>
      <w:r w:rsidRPr="00031F26">
        <w:rPr>
          <w:rFonts w:asciiTheme="minorHAnsi" w:hAnsiTheme="minorHAnsi" w:cstheme="minorHAnsi"/>
          <w:b/>
        </w:rPr>
        <w:t>Zagospodarowanie turystyczno-rekreacyjne odcinka brzegu rzeki Ełk do</w:t>
      </w:r>
    </w:p>
    <w:p w:rsidR="008B4903" w:rsidRPr="008B4903" w:rsidRDefault="008B4903" w:rsidP="008B4903">
      <w:pPr>
        <w:spacing w:before="120" w:after="200"/>
        <w:ind w:left="360"/>
        <w:contextualSpacing/>
        <w:jc w:val="center"/>
        <w:rPr>
          <w:rFonts w:asciiTheme="minorHAnsi" w:eastAsia="Calibri" w:hAnsiTheme="minorHAnsi" w:cstheme="minorHAnsi"/>
          <w:lang w:eastAsia="zh-CN"/>
        </w:rPr>
      </w:pPr>
      <w:r w:rsidRPr="008B4903">
        <w:rPr>
          <w:rFonts w:asciiTheme="minorHAnsi" w:hAnsiTheme="minorHAnsi" w:cstheme="minorHAnsi"/>
          <w:b/>
        </w:rPr>
        <w:t>słupa granicznego w miejscowości Prostki”</w:t>
      </w:r>
    </w:p>
    <w:p w:rsidR="0041507A" w:rsidRPr="00D25D3A" w:rsidRDefault="0041507A" w:rsidP="008B4903">
      <w:pPr>
        <w:autoSpaceDE w:val="0"/>
        <w:autoSpaceDN w:val="0"/>
        <w:adjustRightInd w:val="0"/>
        <w:spacing w:before="120"/>
        <w:jc w:val="both"/>
        <w:rPr>
          <w:rFonts w:asciiTheme="minorHAnsi" w:hAnsiTheme="minorHAnsi" w:cstheme="minorHAnsi"/>
          <w:sz w:val="20"/>
          <w:szCs w:val="20"/>
        </w:rPr>
      </w:pPr>
    </w:p>
    <w:p w:rsidR="00D25D3A" w:rsidRPr="00533167" w:rsidRDefault="00D25D3A" w:rsidP="00533167">
      <w:pPr>
        <w:numPr>
          <w:ilvl w:val="0"/>
          <w:numId w:val="12"/>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 wraz z przedmiarami robót;</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Wyjaśnienia oraz zmiany specyfikacji istotnych warunków zamówienia;</w:t>
      </w:r>
    </w:p>
    <w:p w:rsidR="00D25D3A" w:rsidRPr="00D25D3A" w:rsidRDefault="00D25D3A" w:rsidP="00533167">
      <w:pPr>
        <w:numPr>
          <w:ilvl w:val="1"/>
          <w:numId w:val="12"/>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Projekt budowlany.</w:t>
      </w:r>
    </w:p>
    <w:p w:rsidR="00D25D3A" w:rsidRPr="00D25D3A" w:rsidRDefault="00D25D3A" w:rsidP="00D25D3A">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Terminy realizacji umowy </w:t>
      </w:r>
    </w:p>
    <w:p w:rsidR="00D25D3A" w:rsidRPr="00D25D3A" w:rsidRDefault="00D25D3A" w:rsidP="00D25D3A">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533167" w:rsidRDefault="00D25D3A" w:rsidP="00533167">
      <w:pPr>
        <w:numPr>
          <w:ilvl w:val="0"/>
          <w:numId w:val="1"/>
        </w:numPr>
        <w:spacing w:before="60"/>
        <w:ind w:left="426" w:hanging="426"/>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533167" w:rsidRDefault="00D25D3A" w:rsidP="00B1127C">
      <w:pPr>
        <w:numPr>
          <w:ilvl w:val="1"/>
          <w:numId w:val="1"/>
        </w:numPr>
        <w:spacing w:before="60"/>
        <w:ind w:left="850" w:hanging="425"/>
        <w:jc w:val="both"/>
        <w:rPr>
          <w:rFonts w:asciiTheme="minorHAnsi" w:eastAsia="Arial Unicode MS" w:hAnsiTheme="minorHAnsi" w:cstheme="minorHAnsi"/>
        </w:rPr>
      </w:pPr>
      <w:r w:rsidRPr="00533167">
        <w:rPr>
          <w:rFonts w:asciiTheme="minorHAnsi" w:eastAsia="Arial Unicode MS" w:hAnsiTheme="minorHAnsi" w:cstheme="minorHAnsi"/>
        </w:rPr>
        <w:t>Rozpoczęcie robót nastąpi od dnia przekazania przez Zamawiającego placu budowy</w:t>
      </w:r>
    </w:p>
    <w:p w:rsidR="00D25D3A" w:rsidRPr="00533167" w:rsidRDefault="00D25D3A" w:rsidP="00B1127C">
      <w:pPr>
        <w:numPr>
          <w:ilvl w:val="1"/>
          <w:numId w:val="1"/>
        </w:numPr>
        <w:spacing w:before="60"/>
        <w:ind w:left="851" w:hanging="426"/>
        <w:jc w:val="both"/>
        <w:rPr>
          <w:rFonts w:asciiTheme="minorHAnsi" w:eastAsia="Arial Unicode MS" w:hAnsiTheme="minorHAnsi" w:cstheme="minorHAnsi"/>
        </w:rPr>
      </w:pPr>
      <w:r w:rsidRPr="00533167">
        <w:rPr>
          <w:rFonts w:asciiTheme="minorHAnsi" w:eastAsia="Arial Unicode MS" w:hAnsiTheme="minorHAnsi" w:cstheme="minorHAnsi"/>
        </w:rPr>
        <w:t>Wymagany termin zakończenia i oddania do użytkowania przedmiotu umowy</w:t>
      </w:r>
      <w:r w:rsidR="00533167">
        <w:rPr>
          <w:rFonts w:asciiTheme="minorHAnsi" w:eastAsia="Arial Unicode MS" w:hAnsiTheme="minorHAnsi" w:cstheme="minorHAnsi"/>
          <w:b/>
          <w:bCs/>
        </w:rPr>
        <w:t xml:space="preserve"> w terminie:  </w:t>
      </w:r>
      <w:r w:rsidRPr="00533167">
        <w:rPr>
          <w:rFonts w:asciiTheme="minorHAnsi" w:eastAsia="Arial Unicode MS" w:hAnsiTheme="minorHAnsi" w:cstheme="minorHAnsi"/>
          <w:b/>
          <w:bCs/>
        </w:rPr>
        <w:t>do dnia  …………….. 2017r.</w:t>
      </w:r>
    </w:p>
    <w:p w:rsidR="00D25D3A" w:rsidRPr="00D25D3A" w:rsidRDefault="00D25D3A" w:rsidP="00533167">
      <w:pPr>
        <w:numPr>
          <w:ilvl w:val="0"/>
          <w:numId w:val="1"/>
        </w:numPr>
        <w:tabs>
          <w:tab w:val="left" w:pos="45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D25D3A" w:rsidRPr="00D25D3A" w:rsidRDefault="00D25D3A" w:rsidP="00533167">
      <w:pPr>
        <w:numPr>
          <w:ilvl w:val="0"/>
          <w:numId w:val="1"/>
        </w:numPr>
        <w:tabs>
          <w:tab w:val="left" w:pos="465"/>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Po przekroczeniu terminu umownego zakończenia robót, Wykonawcy nie przysługuje prawo do odstąpienia od wykonania przedmiotu umowy, jeżeli przekroczenie terminu wynika z winy Wykonawcy.</w:t>
      </w:r>
    </w:p>
    <w:p w:rsidR="00D25D3A" w:rsidRPr="00D25D3A" w:rsidRDefault="00D25D3A" w:rsidP="00533167">
      <w:pPr>
        <w:numPr>
          <w:ilvl w:val="0"/>
          <w:numId w:val="1"/>
        </w:numPr>
        <w:tabs>
          <w:tab w:val="left" w:pos="45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D25D3A">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Wynagrodzenie </w:t>
      </w:r>
    </w:p>
    <w:p w:rsidR="00D25D3A" w:rsidRPr="00D25D3A" w:rsidRDefault="00D25D3A" w:rsidP="00D25D3A">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Pr="008B4903" w:rsidRDefault="00D25D3A" w:rsidP="008B4903">
      <w:pPr>
        <w:numPr>
          <w:ilvl w:val="0"/>
          <w:numId w:val="2"/>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w:t>
      </w:r>
      <w:r w:rsidR="008B4903">
        <w:rPr>
          <w:rFonts w:asciiTheme="minorHAnsi" w:eastAsia="Arial Unicode MS" w:hAnsiTheme="minorHAnsi" w:cstheme="minorHAnsi"/>
        </w:rPr>
        <w:t xml:space="preserve">łożonej oferty Wykonawcy wynosi </w:t>
      </w:r>
      <w:r w:rsidRPr="008B4903">
        <w:rPr>
          <w:rFonts w:asciiTheme="minorHAnsi" w:eastAsia="Arial Unicode MS" w:hAnsiTheme="minorHAnsi" w:cstheme="minorHAnsi"/>
        </w:rPr>
        <w:t>to jest wraz z podatkiem od towarów i usług VAT, w kwocie: ………</w:t>
      </w:r>
      <w:r w:rsidR="00EE1E82" w:rsidRPr="008B4903">
        <w:rPr>
          <w:rFonts w:asciiTheme="minorHAnsi" w:eastAsia="Arial Unicode MS" w:hAnsiTheme="minorHAnsi" w:cstheme="minorHAnsi"/>
        </w:rPr>
        <w:t>……</w:t>
      </w:r>
      <w:r w:rsidRPr="008B4903">
        <w:rPr>
          <w:rFonts w:asciiTheme="minorHAnsi" w:eastAsia="Arial Unicode MS" w:hAnsiTheme="minorHAnsi" w:cstheme="minorHAnsi"/>
        </w:rPr>
        <w:t>…………</w:t>
      </w:r>
      <w:r w:rsidRPr="008B4903">
        <w:rPr>
          <w:rFonts w:asciiTheme="minorHAnsi" w:eastAsia="Arial Unicode MS" w:hAnsiTheme="minorHAnsi" w:cstheme="minorHAnsi"/>
          <w:b/>
          <w:bCs/>
        </w:rPr>
        <w:t xml:space="preserve"> PLN brutto</w:t>
      </w:r>
      <w:r w:rsidR="00EE1E82" w:rsidRPr="008B4903">
        <w:rPr>
          <w:rFonts w:asciiTheme="minorHAnsi" w:eastAsia="Arial Unicode MS" w:hAnsiTheme="minorHAnsi" w:cstheme="minorHAnsi"/>
          <w:b/>
          <w:bCs/>
        </w:rPr>
        <w:t xml:space="preserve"> </w:t>
      </w:r>
      <w:r w:rsidR="00EE1E82" w:rsidRPr="008B4903">
        <w:rPr>
          <w:rFonts w:asciiTheme="minorHAnsi" w:eastAsia="Arial Unicode MS" w:hAnsiTheme="minorHAnsi" w:cstheme="minorHAnsi"/>
          <w:bCs/>
        </w:rPr>
        <w:t>(słownie:…………………………………………………………………..PLN) w tym cena netto:……………………………….PLN (słownie:…………………………………………………………………….…………PLN) kwota podatki VAT: ………………..PLN (słownie:………………………………………………………PLN).</w:t>
      </w:r>
    </w:p>
    <w:p w:rsidR="00D25D3A" w:rsidRPr="00D25D3A" w:rsidRDefault="00D25D3A" w:rsidP="00533167">
      <w:pPr>
        <w:numPr>
          <w:ilvl w:val="0"/>
          <w:numId w:val="2"/>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D25D3A">
        <w:rPr>
          <w:rFonts w:asciiTheme="minorHAnsi" w:eastAsia="Arial Unicode MS" w:hAnsiTheme="minorHAnsi" w:cstheme="minorHAnsi"/>
        </w:rPr>
        <w:t>kc</w:t>
      </w:r>
      <w:proofErr w:type="spellEnd"/>
      <w:r w:rsidRPr="00D25D3A">
        <w:rPr>
          <w:rFonts w:asciiTheme="minorHAnsi" w:eastAsia="Arial Unicode MS" w:hAnsiTheme="minorHAnsi" w:cstheme="minorHAnsi"/>
        </w:rPr>
        <w:t xml:space="preserve">.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D25D3A" w:rsidRPr="00D25D3A" w:rsidRDefault="00D25D3A" w:rsidP="00533167">
      <w:pPr>
        <w:numPr>
          <w:ilvl w:val="0"/>
          <w:numId w:val="2"/>
        </w:numPr>
        <w:spacing w:before="60"/>
        <w:ind w:left="425" w:hanging="425"/>
        <w:jc w:val="both"/>
        <w:rPr>
          <w:rFonts w:asciiTheme="minorHAnsi" w:eastAsia="Arial Unicode MS" w:hAnsiTheme="minorHAnsi" w:cstheme="minorHAnsi"/>
        </w:rPr>
      </w:pPr>
      <w:r w:rsidRPr="00D25D3A">
        <w:rPr>
          <w:rFonts w:asciiTheme="minorHAnsi" w:hAnsiTheme="minorHAnsi" w:cstheme="minorHAnsi"/>
        </w:rPr>
        <w:t>Rozliczenie za wykonany przedmiot umowy nastąpi jedną wystawioną na podstawie bezusterkowego protokołu odbioru robót i kosztorysu powykonawczego (</w:t>
      </w:r>
      <w:r w:rsidRPr="00D25D3A">
        <w:rPr>
          <w:rFonts w:asciiTheme="minorHAnsi" w:hAnsiTheme="minorHAnsi" w:cstheme="minorHAnsi"/>
          <w:i/>
        </w:rPr>
        <w:t>wykonanie kosztorysu powykonawczego wymagane jest do prawidłowego rozliczenia wniosku o dofinansowanie Projektu</w:t>
      </w:r>
      <w:r w:rsidRPr="00D25D3A">
        <w:rPr>
          <w:rFonts w:asciiTheme="minorHAnsi" w:hAnsiTheme="minorHAnsi" w:cstheme="minorHAnsi"/>
        </w:rPr>
        <w:t xml:space="preserve">) . </w:t>
      </w:r>
    </w:p>
    <w:p w:rsidR="00D25D3A" w:rsidRPr="00D25D3A" w:rsidRDefault="00D25D3A" w:rsidP="00533167">
      <w:pPr>
        <w:numPr>
          <w:ilvl w:val="0"/>
          <w:numId w:val="2"/>
        </w:numPr>
        <w:spacing w:before="60"/>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 rachunku.</w:t>
      </w:r>
    </w:p>
    <w:p w:rsidR="00D25D3A" w:rsidRPr="00D25D3A" w:rsidRDefault="00D25D3A" w:rsidP="00533167">
      <w:pPr>
        <w:numPr>
          <w:ilvl w:val="0"/>
          <w:numId w:val="2"/>
        </w:numPr>
        <w:spacing w:before="60"/>
        <w:ind w:left="425" w:hanging="425"/>
        <w:jc w:val="both"/>
        <w:rPr>
          <w:rFonts w:asciiTheme="minorHAnsi" w:hAnsiTheme="minorHAnsi" w:cstheme="minorHAnsi"/>
        </w:rPr>
      </w:pPr>
      <w:r w:rsidRPr="00D25D3A">
        <w:rPr>
          <w:rFonts w:asciiTheme="minorHAnsi" w:hAnsiTheme="minorHAnsi" w:cstheme="minorHAnsi"/>
        </w:rPr>
        <w:t xml:space="preserve">Należność będzie uregulowana z konta Zamawiającego na konto Wykonawcy podane na wystawionym rachunku,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rachunku.</w:t>
      </w:r>
    </w:p>
    <w:p w:rsidR="00D25D3A" w:rsidRPr="00D25D3A" w:rsidRDefault="00D25D3A" w:rsidP="00533167">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w:t>
      </w:r>
      <w:r w:rsidRPr="00D25D3A">
        <w:rPr>
          <w:rFonts w:asciiTheme="minorHAnsi" w:hAnsiTheme="minorHAnsi" w:cstheme="minorHAnsi"/>
          <w:noProof/>
          <w:lang w:eastAsia="en-US"/>
        </w:rPr>
        <w:lastRenderedPageBreak/>
        <w:t xml:space="preserve">zapłaty wynagrodzenia podwykonawcy z wyznaczeniem mu 7-dniowego terminu na ich złożenie;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533167">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D25D3A" w:rsidRDefault="00D25D3A" w:rsidP="00533167">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533167">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D25D3A" w:rsidRDefault="00D25D3A" w:rsidP="008667A9">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b/>
          <w:bCs/>
        </w:rPr>
        <w:t xml:space="preserve"> </w:t>
      </w:r>
      <w:r w:rsidRPr="00D25D3A">
        <w:rPr>
          <w:rFonts w:asciiTheme="minorHAnsi" w:hAnsiTheme="minorHAnsi" w:cstheme="minorHAnsi"/>
        </w:rPr>
        <w:t xml:space="preserve">W przypadku okoliczności, o których mowa w </w:t>
      </w:r>
      <w:r w:rsidRPr="00D25D3A">
        <w:rPr>
          <w:rFonts w:asciiTheme="minorHAnsi" w:hAnsiTheme="minorHAnsi" w:cstheme="minorHAnsi"/>
          <w:b/>
        </w:rPr>
        <w:t>pkt 8 i 9</w:t>
      </w:r>
      <w:r w:rsidRPr="00D25D3A">
        <w:rPr>
          <w:rFonts w:asciiTheme="minorHAnsi" w:hAnsiTheme="minorHAnsi" w:cstheme="minorHAnsi"/>
        </w:rPr>
        <w:t xml:space="preserve"> dopuszcza się zmianę wynagrodzenia. W takim przypadku Wykonawca powinien przedłożyć do akceptacji Zamawiającego kalkulację ceny jednostkowej robót z uwzględnieniem cen z kosztorysu ofertowego lub przy braku w kosztorysie ofertowym odpowiednich wycen, cen nie wyższych od średnich cen publikowanych w wydawnictwie </w:t>
      </w:r>
      <w:proofErr w:type="spellStart"/>
      <w:r w:rsidRPr="00D25D3A">
        <w:rPr>
          <w:rFonts w:asciiTheme="minorHAnsi" w:hAnsiTheme="minorHAnsi" w:cstheme="minorHAnsi"/>
        </w:rPr>
        <w:t>Sekocenbud</w:t>
      </w:r>
      <w:proofErr w:type="spellEnd"/>
      <w:r w:rsidRPr="00D25D3A">
        <w:rPr>
          <w:rFonts w:asciiTheme="minorHAnsi" w:hAnsiTheme="minorHAnsi" w:cstheme="minorHAns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D25D3A" w:rsidRDefault="00D25D3A" w:rsidP="00D25D3A">
      <w:pPr>
        <w:tabs>
          <w:tab w:val="left" w:pos="461"/>
        </w:tabs>
        <w:spacing w:before="60"/>
        <w:ind w:right="40"/>
        <w:jc w:val="both"/>
        <w:rPr>
          <w:rFonts w:asciiTheme="minorHAnsi" w:eastAsia="Arial Unicode MS" w:hAnsiTheme="minorHAnsi" w:cstheme="minorHAnsi"/>
          <w:color w:val="FF0000"/>
        </w:rPr>
      </w:pP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D25D3A">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a Podwykonawcom powierzy wykonanie następujących robót budowlanych stanowiących przedmiot niniejszej Umowy: ………………………………………………………………………………………………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z powierzenia wykonania części zamówienia Podwykonawcy.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pkt. 4 i 5</w:t>
      </w:r>
      <w:r w:rsidRPr="00D25D3A">
        <w:rPr>
          <w:rFonts w:asciiTheme="minorHAnsi" w:hAnsiTheme="minorHAnsi" w:cstheme="minorHAnsi"/>
          <w:color w:val="000000"/>
        </w:rPr>
        <w:t xml:space="preserve"> Zamawiający zastosuje wobec dalszych Podwykonawców.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Umowa o podwykonawstwo powinna być zawarta w formie pisemnej pod rygorem nieważności. </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8667A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8667A9">
      <w:pPr>
        <w:numPr>
          <w:ilvl w:val="0"/>
          <w:numId w:val="14"/>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D25D3A" w:rsidRDefault="00D25D3A" w:rsidP="008667A9">
      <w:pPr>
        <w:numPr>
          <w:ilvl w:val="0"/>
          <w:numId w:val="14"/>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8667A9">
      <w:pPr>
        <w:numPr>
          <w:ilvl w:val="0"/>
          <w:numId w:val="14"/>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8667A9">
      <w:pPr>
        <w:numPr>
          <w:ilvl w:val="0"/>
          <w:numId w:val="13"/>
        </w:numPr>
        <w:autoSpaceDE w:val="0"/>
        <w:autoSpaceDN w:val="0"/>
        <w:adjustRightInd w:val="0"/>
        <w:spacing w:before="60"/>
        <w:ind w:left="425" w:hanging="425"/>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8667A9">
      <w:pPr>
        <w:numPr>
          <w:ilvl w:val="0"/>
          <w:numId w:val="15"/>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lastRenderedPageBreak/>
        <w:t xml:space="preserve">postanowienia zakazujące Podwykonawcy podzlecania wykonania robót budowlanych i związanych z nimi prac dalszemu Podwykonawcy robót budowlanych bez zgody Wykonawcy i Zamawiającego. </w:t>
      </w:r>
    </w:p>
    <w:p w:rsidR="00D25D3A" w:rsidRPr="00D25D3A" w:rsidRDefault="00D25D3A" w:rsidP="008667A9">
      <w:pPr>
        <w:numPr>
          <w:ilvl w:val="0"/>
          <w:numId w:val="13"/>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Umowa z Podwykonawcą nie może zawierać postanowień: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8667A9">
      <w:pPr>
        <w:numPr>
          <w:ilvl w:val="0"/>
          <w:numId w:val="16"/>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8667A9">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8667A9">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realizacji robót budowlanych z terminem dłuższym niż przewidywany niniejszą umową dla tych robót.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podwykonawstwo lub warunków dotyczących Podwykonawcy określonych w niniejszej umowie/niespełniającej wymagań określonych w SIWZ.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z nimi.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Wykonawca jest zobowiązany do zapłaty wynagrodzenia należnego Podwykonawcy w terminach płatności określonych w umowie o podwykonawstwo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8667A9">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z Podwykonawcami lub dalszymi Podwykonawcami i postępowaniach sądowych z udziałem Wykonawcy, Podwykonawcy lub dalszego podwykonawcy toczących się w związku z realizacją umowy. </w:t>
      </w:r>
    </w:p>
    <w:p w:rsidR="00D25D3A" w:rsidRPr="00A51F70" w:rsidRDefault="00D25D3A" w:rsidP="00A51F70">
      <w:pPr>
        <w:numPr>
          <w:ilvl w:val="0"/>
          <w:numId w:val="1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200BE8" w:rsidRPr="00D25D3A" w:rsidRDefault="00200BE8" w:rsidP="00A51F70">
      <w:pPr>
        <w:autoSpaceDE w:val="0"/>
        <w:autoSpaceDN w:val="0"/>
        <w:adjustRightInd w:val="0"/>
        <w:rPr>
          <w:rFonts w:asciiTheme="minorHAnsi" w:hAnsiTheme="minorHAnsi" w:cstheme="minorHAnsi"/>
          <w:b/>
          <w:bCs/>
          <w:color w:val="000000"/>
        </w:rPr>
      </w:pPr>
    </w:p>
    <w:p w:rsidR="00D25D3A" w:rsidRPr="00D25D3A" w:rsidRDefault="00D25D3A" w:rsidP="00D25D3A">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D25D3A">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xml:space="preserve">. wymaga zatrudnienia przez Wykonawcę lub podwykonawcę na podstawie umowy o pracę osób wykonujących czynności w zakresie realizacji zamówienia, których wykonanie polega na wykonaniu pracy w sposób określony w art. 22 § 1 ustawy z dnia 26 czerwca 1974 r. Kodeks pracy (Dz.U. z 2016 r. poz. 1666 z </w:t>
      </w:r>
      <w:proofErr w:type="spellStart"/>
      <w:r w:rsidRPr="00D25D3A">
        <w:rPr>
          <w:rFonts w:asciiTheme="minorHAnsi" w:hAnsiTheme="minorHAnsi" w:cstheme="minorHAnsi"/>
          <w:color w:val="000000"/>
        </w:rPr>
        <w:t>póź</w:t>
      </w:r>
      <w:proofErr w:type="spellEnd"/>
      <w:r w:rsidRPr="00D25D3A">
        <w:rPr>
          <w:rFonts w:asciiTheme="minorHAnsi" w:hAnsiTheme="minorHAnsi" w:cstheme="minorHAnsi"/>
          <w:color w:val="000000"/>
        </w:rPr>
        <w:t xml:space="preserve">. zm.).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8667A9">
      <w:pPr>
        <w:numPr>
          <w:ilvl w:val="0"/>
          <w:numId w:val="18"/>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i dokonywania ich oceny, </w:t>
      </w:r>
    </w:p>
    <w:p w:rsidR="00D25D3A" w:rsidRPr="00D25D3A" w:rsidRDefault="00D25D3A" w:rsidP="008667A9">
      <w:pPr>
        <w:numPr>
          <w:ilvl w:val="0"/>
          <w:numId w:val="18"/>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8667A9">
      <w:pPr>
        <w:numPr>
          <w:ilvl w:val="0"/>
          <w:numId w:val="18"/>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8667A9">
      <w:pPr>
        <w:numPr>
          <w:ilvl w:val="1"/>
          <w:numId w:val="20"/>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w:t>
      </w:r>
      <w:r w:rsidRPr="00D25D3A">
        <w:rPr>
          <w:rFonts w:asciiTheme="minorHAnsi" w:hAnsiTheme="minorHAnsi" w:cstheme="minorHAnsi"/>
          <w:color w:val="000000"/>
        </w:rPr>
        <w:lastRenderedPageBreak/>
        <w:t xml:space="preserve">osoby zatrudnione na podstawie umowy o pracę wraz ze wskazaniem liczby tych osób, rodzaju umowy o pracę i wymiaru etatu oraz podpis osoby uprawnionej do złożenia oświadczenia w imieniu Wykonawcy lub Podwykonawcy;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D25D3A" w:rsidRDefault="00D25D3A" w:rsidP="008667A9">
      <w:pPr>
        <w:numPr>
          <w:ilvl w:val="0"/>
          <w:numId w:val="19"/>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b/>
          <w:bCs/>
          <w:color w:val="000000"/>
        </w:rPr>
        <w:t xml:space="preserve"> </w:t>
      </w:r>
      <w:r w:rsidRPr="00D25D3A">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D25D3A" w:rsidRPr="00D25D3A" w:rsidRDefault="00D25D3A" w:rsidP="008667A9">
      <w:pPr>
        <w:numPr>
          <w:ilvl w:val="0"/>
          <w:numId w:val="17"/>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D25D3A">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D25D3A">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8667A9">
      <w:pPr>
        <w:numPr>
          <w:ilvl w:val="0"/>
          <w:numId w:val="21"/>
        </w:numPr>
        <w:autoSpaceDE w:val="0"/>
        <w:autoSpaceDN w:val="0"/>
        <w:adjustRightInd w:val="0"/>
        <w:spacing w:before="60"/>
        <w:ind w:left="425" w:hanging="425"/>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8667A9">
      <w:pPr>
        <w:numPr>
          <w:ilvl w:val="0"/>
          <w:numId w:val="22"/>
        </w:numPr>
        <w:autoSpaceDE w:val="0"/>
        <w:autoSpaceDN w:val="0"/>
        <w:adjustRightInd w:val="0"/>
        <w:spacing w:before="60"/>
        <w:ind w:left="851" w:hanging="425"/>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z wymaganiami ustawy Prawo budowlane, Polskimi normami oraz zasadami wiedzy technicznej i sztuki budowlanej.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Ponoszenie odpowiedzialności od dnia protokolarnego przekazania terenu robót za organizację swojego zaplecza, utrzymanie ładu i porządku, usuwanie wszelkich śmieci, odpadków, opakowań i innych pozostałości po zużytych przez Wykonawcę materiałach. W przypadku zaniechania czynności porządkowe mogą zostać wykonane przez Zamawiającego na koszt Wykonawcy.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Natychmiastowe zawiadamianie Zamawiającego o wadach i brakach w otrzymanej dokumentacji,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Niezwłoczne przekazanie Zamawiającemu dokumentacji powykonawczej wraz z dokumentami pozwalającymi na ocenę prawidłowego wykonania robót zgłaszanych do odbioru; </w:t>
      </w:r>
    </w:p>
    <w:p w:rsid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kosztorysów powykonawczych; </w:t>
      </w:r>
    </w:p>
    <w:p w:rsidR="00644A88" w:rsidRPr="00D25D3A" w:rsidRDefault="00644A88"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realizacji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8667A9">
      <w:pPr>
        <w:numPr>
          <w:ilvl w:val="0"/>
          <w:numId w:val="2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8667A9">
      <w:pPr>
        <w:numPr>
          <w:ilvl w:val="0"/>
          <w:numId w:val="24"/>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lastRenderedPageBreak/>
        <w:t xml:space="preserve">Wykonawca wyznaczy osoby z odpowiednimi kwalifikacjami do utrzymywania kontaktu 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odpowiedzialny jak za własne zachowanie za działania i zaniechania osób, z których pomocą wykonuje przedmiot umowy.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Wbudowane materiały muszą odpowiadać, co do jakości wymogom dotyczącym wyrobów dopuszczonych do obrotu i stosowania w budownictwie zgodnie z ustawą - Prawo budowlane, .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8667A9">
      <w:pPr>
        <w:numPr>
          <w:ilvl w:val="0"/>
          <w:numId w:val="2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8667A9">
      <w:pPr>
        <w:numPr>
          <w:ilvl w:val="0"/>
          <w:numId w:val="2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D25D3A" w:rsidRDefault="00D25D3A" w:rsidP="008667A9">
      <w:pPr>
        <w:numPr>
          <w:ilvl w:val="0"/>
          <w:numId w:val="21"/>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D25D3A" w:rsidRPr="00D25D3A" w:rsidRDefault="00D25D3A" w:rsidP="008667A9">
      <w:pPr>
        <w:autoSpaceDE w:val="0"/>
        <w:autoSpaceDN w:val="0"/>
        <w:adjustRightInd w:val="0"/>
        <w:spacing w:before="60"/>
        <w:ind w:left="425" w:hanging="425"/>
        <w:rPr>
          <w:rFonts w:asciiTheme="minorHAnsi" w:hAnsiTheme="minorHAnsi" w:cstheme="minorHAnsi"/>
          <w:color w:val="000000"/>
          <w:u w:val="single"/>
        </w:rPr>
      </w:pPr>
    </w:p>
    <w:p w:rsidR="00D25D3A" w:rsidRPr="00D25D3A" w:rsidRDefault="00D25D3A" w:rsidP="00D25D3A">
      <w:pPr>
        <w:autoSpaceDE w:val="0"/>
        <w:autoSpaceDN w:val="0"/>
        <w:adjustRightInd w:val="0"/>
        <w:spacing w:after="12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D25D3A">
      <w:pPr>
        <w:autoSpaceDE w:val="0"/>
        <w:autoSpaceDN w:val="0"/>
        <w:adjustRightInd w:val="0"/>
        <w:spacing w:after="12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Przedstawicielami Zamawiającego podczas realizacji umowy będą …………………………….. – inspektor nadzoru inwestorskiego</w:t>
      </w:r>
      <w:r w:rsidR="0027327F">
        <w:rPr>
          <w:rFonts w:asciiTheme="minorHAnsi" w:hAnsiTheme="minorHAnsi" w:cstheme="minorHAnsi"/>
          <w:color w:val="000000"/>
        </w:rPr>
        <w:t>;</w:t>
      </w:r>
      <w:r w:rsidRPr="00D25D3A">
        <w:rPr>
          <w:rFonts w:asciiTheme="minorHAnsi" w:hAnsiTheme="minorHAnsi" w:cstheme="minorHAnsi"/>
          <w:color w:val="000000"/>
        </w:rPr>
        <w:t xml:space="preserve"> </w:t>
      </w:r>
      <w:r w:rsidR="008B4903" w:rsidRPr="008B4903">
        <w:rPr>
          <w:rFonts w:asciiTheme="minorHAnsi" w:hAnsiTheme="minorHAnsi" w:cstheme="minorHAnsi"/>
          <w:b/>
        </w:rPr>
        <w:t xml:space="preserve">Monika </w:t>
      </w:r>
      <w:proofErr w:type="spellStart"/>
      <w:r w:rsidR="008B4903" w:rsidRPr="008B4903">
        <w:rPr>
          <w:rFonts w:asciiTheme="minorHAnsi" w:hAnsiTheme="minorHAnsi" w:cstheme="minorHAnsi"/>
          <w:b/>
        </w:rPr>
        <w:t>Niedzielewska</w:t>
      </w:r>
      <w:proofErr w:type="spellEnd"/>
      <w:r w:rsidR="008B4903" w:rsidRPr="008B4903">
        <w:rPr>
          <w:rFonts w:asciiTheme="minorHAnsi" w:hAnsiTheme="minorHAnsi" w:cstheme="minorHAnsi"/>
        </w:rPr>
        <w:t xml:space="preserve"> </w:t>
      </w:r>
      <w:r w:rsidRPr="00D25D3A">
        <w:rPr>
          <w:rFonts w:asciiTheme="minorHAnsi" w:hAnsiTheme="minorHAnsi" w:cstheme="minorHAnsi"/>
          <w:color w:val="000000"/>
        </w:rPr>
        <w:t xml:space="preserve">oraz </w:t>
      </w:r>
      <w:r w:rsidRPr="00D25D3A">
        <w:rPr>
          <w:rFonts w:asciiTheme="minorHAnsi" w:hAnsiTheme="minorHAnsi" w:cstheme="minorHAnsi"/>
          <w:b/>
          <w:color w:val="000000"/>
        </w:rPr>
        <w:t>Roman Nowakowski</w:t>
      </w:r>
      <w:r w:rsidRPr="00D25D3A">
        <w:rPr>
          <w:rFonts w:asciiTheme="minorHAnsi" w:hAnsiTheme="minorHAnsi" w:cstheme="minorHAnsi"/>
          <w:color w:val="000000"/>
        </w:rPr>
        <w:t xml:space="preserve"> </w:t>
      </w:r>
      <w:r w:rsidR="008B4903">
        <w:rPr>
          <w:rFonts w:asciiTheme="minorHAnsi" w:hAnsiTheme="minorHAnsi" w:cstheme="minorHAnsi"/>
          <w:color w:val="000000"/>
        </w:rPr>
        <w:t>–</w:t>
      </w:r>
      <w:r w:rsidRPr="00D25D3A">
        <w:rPr>
          <w:rFonts w:asciiTheme="minorHAnsi" w:hAnsiTheme="minorHAnsi" w:cstheme="minorHAnsi"/>
          <w:color w:val="000000"/>
        </w:rPr>
        <w:t xml:space="preserve"> inspekt</w:t>
      </w:r>
      <w:r w:rsidR="008B4903">
        <w:rPr>
          <w:rFonts w:asciiTheme="minorHAnsi" w:hAnsiTheme="minorHAnsi" w:cstheme="minorHAnsi"/>
          <w:color w:val="000000"/>
        </w:rPr>
        <w:t xml:space="preserve">orzy </w:t>
      </w:r>
      <w:r w:rsidRPr="00D25D3A">
        <w:rPr>
          <w:rFonts w:asciiTheme="minorHAnsi" w:hAnsiTheme="minorHAnsi" w:cstheme="minorHAnsi"/>
          <w:color w:val="000000"/>
        </w:rPr>
        <w:t xml:space="preserve">Urzędu Gminy Prostki . </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Nadzór nad realizacją przedmiotu Umowy w imieniu Wykonawcy będzie sprawować Kierownik Budowy Pan/Pani ………………………. uprawnienia budowlane nr …….………, nr ewidencyjny …………………….</w:t>
      </w:r>
      <w:r w:rsidRPr="00D25D3A">
        <w:rPr>
          <w:rFonts w:asciiTheme="minorHAnsi" w:eastAsia="Arial Unicode MS" w:hAnsiTheme="minorHAnsi" w:cstheme="minorHAnsi"/>
          <w:color w:val="000000"/>
        </w:rPr>
        <w:tab/>
        <w:t xml:space="preserve"> </w:t>
      </w:r>
      <w:r w:rsidRPr="00D25D3A">
        <w:rPr>
          <w:rFonts w:asciiTheme="minorHAnsi" w:eastAsia="Arial Unicode MS" w:hAnsiTheme="minorHAnsi" w:cstheme="minorHAnsi"/>
          <w:color w:val="000000"/>
        </w:rPr>
        <w:br/>
      </w:r>
      <w:r w:rsidRPr="00D25D3A">
        <w:rPr>
          <w:rFonts w:asciiTheme="minorHAnsi" w:eastAsia="Arial Unicode MS" w:hAnsiTheme="minorHAnsi" w:cstheme="minorHAnsi"/>
          <w:color w:val="000000"/>
        </w:rPr>
        <w:lastRenderedPageBreak/>
        <w:t>w działający(ca) w granicach umocowania określonego przepisami ustawy - Prawo Budowlane (</w:t>
      </w:r>
      <w:proofErr w:type="spellStart"/>
      <w:r w:rsidRPr="00D25D3A">
        <w:rPr>
          <w:rFonts w:asciiTheme="minorHAnsi" w:eastAsia="Arial Unicode MS" w:hAnsiTheme="minorHAnsi" w:cstheme="minorHAnsi"/>
          <w:color w:val="000000"/>
        </w:rPr>
        <w:t>tj.Dz</w:t>
      </w:r>
      <w:proofErr w:type="spellEnd"/>
      <w:r w:rsidRPr="00D25D3A">
        <w:rPr>
          <w:rFonts w:asciiTheme="minorHAnsi" w:eastAsia="Arial Unicode MS" w:hAnsiTheme="minorHAnsi" w:cstheme="minorHAnsi"/>
          <w:color w:val="000000"/>
        </w:rPr>
        <w:t xml:space="preserve">. U. z 2016 r., poz. 290 z </w:t>
      </w:r>
      <w:proofErr w:type="spellStart"/>
      <w:r w:rsidRPr="00D25D3A">
        <w:rPr>
          <w:rFonts w:asciiTheme="minorHAnsi" w:eastAsia="Arial Unicode MS" w:hAnsiTheme="minorHAnsi" w:cstheme="minorHAnsi"/>
          <w:color w:val="000000"/>
        </w:rPr>
        <w:t>późn</w:t>
      </w:r>
      <w:proofErr w:type="spellEnd"/>
      <w:r w:rsidRPr="00D25D3A">
        <w:rPr>
          <w:rFonts w:asciiTheme="minorHAnsi" w:eastAsia="Arial Unicode MS" w:hAnsiTheme="minorHAnsi" w:cstheme="minorHAnsi"/>
          <w:color w:val="000000"/>
        </w:rPr>
        <w:t>. zm.).</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Inspektor nadzoru działa w granicach umocowania określonego przepisami ustawy z 7 lipca 1994 r. - Prawo budowlane (tj. Dz. U. z 2016 r., poz. 290 z </w:t>
      </w:r>
      <w:proofErr w:type="spellStart"/>
      <w:r w:rsidRPr="00D25D3A">
        <w:rPr>
          <w:rFonts w:asciiTheme="minorHAnsi" w:eastAsia="Arial Unicode MS" w:hAnsiTheme="minorHAnsi" w:cstheme="minorHAnsi"/>
          <w:color w:val="000000"/>
        </w:rPr>
        <w:t>późn</w:t>
      </w:r>
      <w:proofErr w:type="spellEnd"/>
      <w:r w:rsidRPr="00D25D3A">
        <w:rPr>
          <w:rFonts w:asciiTheme="minorHAnsi" w:eastAsia="Arial Unicode MS" w:hAnsiTheme="minorHAnsi" w:cstheme="minorHAnsi"/>
          <w:color w:val="000000"/>
        </w:rPr>
        <w:t xml:space="preserve">. zm.) i ma prawo do nadzorowania robót bez ograniczeń w czasie i przestrzeni oraz weryfikacji postępu i kosztów robót objętych niniejszą 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realizacji</w:t>
      </w:r>
      <w:r w:rsidR="00644A88" w:rsidRPr="00644A88">
        <w:rPr>
          <w:rFonts w:asciiTheme="minorHAnsi" w:eastAsia="Arial Unicode MS" w:hAnsiTheme="minorHAnsi" w:cstheme="minorHAnsi"/>
          <w:b/>
          <w:noProof/>
          <w:lang w:eastAsia="en-US"/>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8667A9">
      <w:pPr>
        <w:numPr>
          <w:ilvl w:val="0"/>
          <w:numId w:val="2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D25D3A">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8667A9">
      <w:pPr>
        <w:numPr>
          <w:ilvl w:val="7"/>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wyrobach budowlanych (tj. Dz. U. z 2014 r. poz. 883), w tym m.in. deklarację zgodności lub ważny certyfikat zgodności z normami lub ważną aprobatę techniczną.</w:t>
      </w:r>
    </w:p>
    <w:p w:rsidR="00D25D3A" w:rsidRPr="00D25D3A" w:rsidRDefault="00D25D3A" w:rsidP="008667A9">
      <w:pPr>
        <w:numPr>
          <w:ilvl w:val="7"/>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8667A9">
      <w:pPr>
        <w:numPr>
          <w:ilvl w:val="7"/>
          <w:numId w:val="3"/>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8667A9">
      <w:pPr>
        <w:numPr>
          <w:ilvl w:val="8"/>
          <w:numId w:val="45"/>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8667A9">
      <w:pPr>
        <w:numPr>
          <w:ilvl w:val="7"/>
          <w:numId w:val="3"/>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8667A9">
      <w:pPr>
        <w:numPr>
          <w:ilvl w:val="7"/>
          <w:numId w:val="3"/>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D25D3A">
      <w:pPr>
        <w:tabs>
          <w:tab w:val="left" w:pos="400"/>
        </w:tabs>
        <w:spacing w:before="60"/>
        <w:ind w:left="400" w:right="40"/>
        <w:jc w:val="both"/>
        <w:rPr>
          <w:rFonts w:asciiTheme="minorHAnsi" w:eastAsia="Arial Unicode MS" w:hAnsiTheme="minorHAnsi" w:cstheme="minorHAnsi"/>
        </w:rPr>
      </w:pPr>
    </w:p>
    <w:p w:rsidR="00D25D3A" w:rsidRPr="008667A9" w:rsidRDefault="00D25D3A" w:rsidP="00D25D3A">
      <w:pPr>
        <w:keepNext/>
        <w:keepLines/>
        <w:spacing w:before="120" w:after="120"/>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 xml:space="preserve">Zabezpieczenie należytego wykonania umowy </w:t>
      </w:r>
    </w:p>
    <w:p w:rsidR="00D25D3A" w:rsidRPr="00D25D3A" w:rsidRDefault="00D25D3A" w:rsidP="00D25D3A">
      <w:pPr>
        <w:keepNext/>
        <w:keepLines/>
        <w:spacing w:before="120" w:after="120"/>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§11</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Pr="0027327F">
        <w:rPr>
          <w:rFonts w:asciiTheme="minorHAnsi" w:eastAsia="Arial Unicode MS" w:hAnsiTheme="minorHAnsi" w:cstheme="minorHAnsi"/>
          <w:b/>
          <w:noProof/>
          <w:lang w:eastAsia="en-US"/>
        </w:rPr>
        <w:t>5%</w:t>
      </w:r>
      <w:r w:rsidRPr="00D25D3A">
        <w:rPr>
          <w:rFonts w:asciiTheme="minorHAnsi" w:eastAsia="Arial Unicode MS" w:hAnsiTheme="minorHAnsi" w:cstheme="minorHAnsi"/>
          <w:noProof/>
          <w:lang w:eastAsia="en-US"/>
        </w:rPr>
        <w:t xml:space="preserve"> ceny ofertowej brutto, tj</w:t>
      </w:r>
      <w:r w:rsidRPr="00D25D3A">
        <w:rPr>
          <w:rFonts w:asciiTheme="minorHAnsi" w:eastAsia="Arial Unicode MS" w:hAnsiTheme="minorHAnsi" w:cstheme="minorHAnsi"/>
          <w:noProof/>
          <w:lang w:eastAsia="en-US"/>
        </w:rPr>
        <w:tab/>
        <w:t xml:space="preserve">…………..zł (słownie:…………złotych) </w:t>
      </w:r>
      <w:bookmarkStart w:id="0" w:name="_GoBack"/>
      <w:bookmarkEnd w:id="0"/>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lastRenderedPageBreak/>
        <w:t>Wykonawca wnosi zabezpieczenie należytego wykonania umowy w formie ………………………….………</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ma w istocie zapewnić, że Wykonawca gwarantuje jakość robót przewidzianych do wykonania w ramach umowy oraz zobowiązuje się usunąć wszelkie wady lub szkody, które ujawnią się w okresie rękojmi, a które to wady lub szkody Zamawiający uzna jako wynikłe z działania lub zaniedbania Wykonawcy zgodnie z warunkami umowy.</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 trakcie realizacji umowy może dokonać zmiany formy zabezpieczenia na jedną z form przewidzianych w art 148 ust.1 Pzp z zachowaniem ciągłości zabezpieczenia i bez zmniejszenia jego wysokości.</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8667A9">
      <w:pPr>
        <w:numPr>
          <w:ilvl w:val="1"/>
          <w:numId w:val="46"/>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8667A9">
      <w:pPr>
        <w:numPr>
          <w:ilvl w:val="1"/>
          <w:numId w:val="46"/>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8667A9">
      <w:pPr>
        <w:numPr>
          <w:ilvl w:val="1"/>
          <w:numId w:val="46"/>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8667A9">
      <w:pPr>
        <w:numPr>
          <w:ilvl w:val="1"/>
          <w:numId w:val="47"/>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8667A9">
      <w:pPr>
        <w:numPr>
          <w:ilvl w:val="1"/>
          <w:numId w:val="47"/>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D25D3A" w:rsidRPr="00D25D3A" w:rsidRDefault="00D25D3A" w:rsidP="008667A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D25D3A" w:rsidRPr="00200BE8" w:rsidRDefault="00D25D3A" w:rsidP="00200BE8">
      <w:pPr>
        <w:keepNext/>
        <w:keepLines/>
        <w:tabs>
          <w:tab w:val="left" w:pos="3669"/>
          <w:tab w:val="center" w:pos="4801"/>
        </w:tabs>
        <w:spacing w:before="120" w:after="120"/>
        <w:ind w:right="142"/>
        <w:outlineLvl w:val="3"/>
        <w:rPr>
          <w:rFonts w:asciiTheme="minorHAnsi" w:eastAsia="Arial Unicode MS" w:hAnsiTheme="minorHAnsi" w:cstheme="minorHAnsi"/>
          <w:b/>
          <w:bCs/>
        </w:rPr>
      </w:pPr>
      <w:r w:rsidRPr="00200BE8">
        <w:rPr>
          <w:rFonts w:asciiTheme="minorHAnsi" w:eastAsia="Arial Unicode MS" w:hAnsiTheme="minorHAnsi" w:cstheme="minorHAnsi"/>
          <w:b/>
          <w:bCs/>
        </w:rPr>
        <w:tab/>
      </w:r>
      <w:r w:rsidRPr="00200BE8">
        <w:rPr>
          <w:rFonts w:asciiTheme="minorHAnsi" w:eastAsia="Arial Unicode MS" w:hAnsiTheme="minorHAnsi" w:cstheme="minorHAnsi"/>
          <w:b/>
          <w:bCs/>
        </w:rPr>
        <w:tab/>
        <w:t>Gwarancja  i rękojmia</w:t>
      </w:r>
    </w:p>
    <w:p w:rsidR="00D25D3A" w:rsidRPr="00D25D3A" w:rsidRDefault="00D25D3A" w:rsidP="00200BE8">
      <w:pPr>
        <w:keepNext/>
        <w:keepLines/>
        <w:spacing w:before="120" w:after="120"/>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§12</w:t>
      </w:r>
    </w:p>
    <w:p w:rsidR="00D25D3A" w:rsidRPr="00D25D3A" w:rsidRDefault="00D25D3A" w:rsidP="008667A9">
      <w:pPr>
        <w:numPr>
          <w:ilvl w:val="0"/>
          <w:numId w:val="4"/>
        </w:numPr>
        <w:tabs>
          <w:tab w:val="left" w:pos="364"/>
          <w:tab w:val="left" w:leader="dot" w:pos="7262"/>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na wykonane przez siebie roboty udziela gwarancji na okres………...</w:t>
      </w:r>
      <w:r w:rsidRPr="00D25D3A">
        <w:rPr>
          <w:rFonts w:asciiTheme="minorHAnsi" w:eastAsia="Arial Unicode MS" w:hAnsiTheme="minorHAnsi" w:cstheme="minorHAnsi"/>
        </w:rPr>
        <w:tab/>
        <w:t>miesięcy.</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8667A9">
      <w:pPr>
        <w:numPr>
          <w:ilvl w:val="0"/>
          <w:numId w:val="4"/>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Gwarancja i rękojmia obejmuje wady materiałów oraz wady w robociźnie. W okresie gwarancji i rękojmi Wykonawca zobowiązany jest do usunięcia ujawnionych wad bezpłatnie w terminie do 7 dni licząc od daty zgłoszenia przez Zamawiającego wady lub w innym technicznie możliwym terminie uzgodnionym przez Strony po przedstawieniu stosownego uzasadnienia przez Wykonawcę.</w:t>
      </w:r>
    </w:p>
    <w:p w:rsidR="00D25D3A" w:rsidRPr="00D25D3A" w:rsidRDefault="00D25D3A" w:rsidP="008667A9">
      <w:pPr>
        <w:numPr>
          <w:ilvl w:val="0"/>
          <w:numId w:val="4"/>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o czas nie dłuższy, niż czas występowania tych powodów.</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wyniku przeglądu sporządzony zostanie protokół, w którym spisane zostaną czynności i spostrzeżenia jakie wystąpiły podczas przeglądu z wyznaczeniem przez Zamawiającego terminu na usunięcie przez Wykonawcę wad w okresie rękojmi lub gwarancji.</w:t>
      </w:r>
    </w:p>
    <w:p w:rsidR="00D25D3A" w:rsidRPr="00D25D3A" w:rsidRDefault="00D25D3A" w:rsidP="008667A9">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D25D3A">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Kary umowne </w:t>
      </w:r>
    </w:p>
    <w:p w:rsidR="00D25D3A" w:rsidRPr="00D25D3A" w:rsidRDefault="00D25D3A" w:rsidP="00D25D3A">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§14</w:t>
      </w:r>
    </w:p>
    <w:p w:rsidR="00076DB1" w:rsidRDefault="00D25D3A" w:rsidP="00076DB1">
      <w:pPr>
        <w:numPr>
          <w:ilvl w:val="0"/>
          <w:numId w:val="7"/>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076DB1">
      <w:pPr>
        <w:numPr>
          <w:ilvl w:val="1"/>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Zamawiającemu przysługują kary umowne</w:t>
      </w:r>
      <w:r w:rsidR="008B4903">
        <w:rPr>
          <w:rFonts w:asciiTheme="minorHAnsi" w:eastAsia="Arial Unicode MS" w:hAnsiTheme="minorHAnsi" w:cstheme="minorHAnsi"/>
          <w:noProof/>
          <w:lang w:eastAsia="en-US"/>
        </w:rPr>
        <w:t>:</w:t>
      </w:r>
      <w:r w:rsidRPr="00076DB1">
        <w:rPr>
          <w:rFonts w:asciiTheme="minorHAnsi" w:eastAsia="Arial Unicode MS" w:hAnsiTheme="minorHAnsi" w:cstheme="minorHAnsi"/>
          <w:noProof/>
          <w:lang w:eastAsia="en-US"/>
        </w:rPr>
        <w:t xml:space="preserve"> </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rozwiązanie umowy z przyczyn zależnych od Wykonawcy w wysokości 10% wartości brutto umowy.</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lastRenderedPageBreak/>
        <w:t>Za nieprzedłożenie poświadczonej za zgodność z oryginałem kopii umowy o podwykonawstwo lub projektu jej zmiany - w wysokości 10.000,00 złotych.</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076DB1">
      <w:pPr>
        <w:numPr>
          <w:ilvl w:val="1"/>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076DB1">
      <w:pPr>
        <w:numPr>
          <w:ilvl w:val="2"/>
          <w:numId w:val="7"/>
        </w:numPr>
        <w:spacing w:before="60"/>
        <w:contextualSpacing/>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18 ust. 5.</w:t>
      </w:r>
    </w:p>
    <w:p w:rsidR="00D25D3A" w:rsidRPr="00D25D3A" w:rsidRDefault="00D25D3A" w:rsidP="00076DB1">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076DB1">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200BE8">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Odbiór robót </w:t>
      </w:r>
    </w:p>
    <w:p w:rsidR="00D25D3A" w:rsidRPr="00D25D3A" w:rsidRDefault="00D25D3A" w:rsidP="00D25D3A">
      <w:pPr>
        <w:keepNext/>
        <w:keepLines/>
        <w:spacing w:before="120" w:after="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§15</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Przedmiotem odbioru końcowego jest wykonany przedmiot niniejszej umowy.</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Razem z wnioskiem o dokonaniu odbioru końcowego robót Wykonawca przekaże Zamawiającemu:</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i inne dokumenty wymagane stosownymi przepisami,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Prawo budowlane (opisane i ostemplowane przez Kierownika budowy). </w:t>
      </w:r>
    </w:p>
    <w:p w:rsidR="00D25D3A" w:rsidRPr="00D25D3A" w:rsidRDefault="00D25D3A" w:rsidP="00076DB1">
      <w:pPr>
        <w:numPr>
          <w:ilvl w:val="0"/>
          <w:numId w:val="28"/>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Kosztorysy powykonawcze.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Odbiór końcowy robót zorganizowany będzie przez Zamawiającego, o czym Wykonawca powiadomiony zostanie na piśmie w terminie do 14 dni licząc od daty zgłoszenia przez Wykonawcę i potwierdzenia gotowości wykonanych robót do odbioru przez inspektora nadzoru z jednoczesnym pisemnym zawiadomieniem Zamawiającego.</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o gotowości do odbioru końcowego, o ile roboty zostaną odebrane bez wad i usterek. </w:t>
      </w:r>
    </w:p>
    <w:p w:rsidR="00D25D3A" w:rsidRPr="00D25D3A" w:rsidRDefault="00D25D3A" w:rsidP="00076DB1">
      <w:pPr>
        <w:numPr>
          <w:ilvl w:val="0"/>
          <w:numId w:val="8"/>
        </w:numPr>
        <w:spacing w:before="60"/>
        <w:ind w:left="425"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076DB1">
      <w:pPr>
        <w:numPr>
          <w:ilvl w:val="0"/>
          <w:numId w:val="29"/>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076DB1">
      <w:pPr>
        <w:numPr>
          <w:ilvl w:val="0"/>
          <w:numId w:val="29"/>
        </w:numPr>
        <w:spacing w:before="60"/>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076DB1">
      <w:pPr>
        <w:numPr>
          <w:ilvl w:val="0"/>
          <w:numId w:val="30"/>
        </w:numPr>
        <w:spacing w:before="60"/>
        <w:ind w:left="1276"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jeżeli nie uniemożliwiają one użytkowania przedmiotu odbioru zgodnie z przeznaczeniem, Zamawiający może obniżyć odpowiednio wynagrodzenie;</w:t>
      </w:r>
    </w:p>
    <w:p w:rsidR="00D25D3A" w:rsidRPr="00D25D3A" w:rsidRDefault="00D25D3A" w:rsidP="00076DB1">
      <w:pPr>
        <w:numPr>
          <w:ilvl w:val="0"/>
          <w:numId w:val="30"/>
        </w:numPr>
        <w:spacing w:before="60"/>
        <w:ind w:left="1276"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076DB1">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076DB1">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i termin usunięcia wady. </w:t>
      </w:r>
    </w:p>
    <w:p w:rsidR="00D25D3A" w:rsidRPr="00076DB1" w:rsidRDefault="00D25D3A" w:rsidP="00076DB1">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076DB1" w:rsidRPr="00D25D3A" w:rsidRDefault="00076DB1" w:rsidP="00076DB1">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533167">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§17</w:t>
      </w:r>
    </w:p>
    <w:p w:rsidR="00D25D3A" w:rsidRPr="00D25D3A" w:rsidRDefault="00D25D3A" w:rsidP="00D25D3A">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076DB1">
      <w:pPr>
        <w:numPr>
          <w:ilvl w:val="0"/>
          <w:numId w:val="31"/>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076DB1">
      <w:pPr>
        <w:numPr>
          <w:ilvl w:val="0"/>
          <w:numId w:val="31"/>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D25D3A" w:rsidP="00D25D3A">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D25D3A">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Odstąpienie od umowy </w:t>
      </w:r>
    </w:p>
    <w:p w:rsidR="00D25D3A" w:rsidRPr="00076DB1" w:rsidRDefault="00D25D3A" w:rsidP="00076DB1">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§18</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076DB1">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 w terminie 14 dni od dnia stwierdzenia przez Zamawiającego danej okoliczności.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Wykonawcy przysługuje prawo odstąpienia od umowy, jeżeli Zamawiający: </w:t>
      </w:r>
    </w:p>
    <w:p w:rsidR="00D25D3A" w:rsidRPr="00D25D3A" w:rsidRDefault="00D25D3A" w:rsidP="00076DB1">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 Nie wywiązuje się z obowiązku zapłaty faktur VAT mimo dodatkowego wezwania – w terminie 1 miesiąca od upływu terminu zapłaty, określonego w niniejszej umowie, </w:t>
      </w:r>
    </w:p>
    <w:p w:rsidR="00D25D3A" w:rsidRPr="00D25D3A" w:rsidRDefault="00D25D3A" w:rsidP="00076DB1">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lastRenderedPageBreak/>
        <w:t xml:space="preserve">W wypadku odstąpienia od umowy przez Wykonawcę lub Zamawiającego, strony obciążają następujące obowiązki: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rsidR="00D25D3A" w:rsidRPr="00D25D3A" w:rsidRDefault="00D25D3A" w:rsidP="00076DB1">
      <w:pPr>
        <w:numPr>
          <w:ilvl w:val="0"/>
          <w:numId w:val="4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D25D3A" w:rsidRDefault="00D25D3A" w:rsidP="00076DB1">
      <w:pPr>
        <w:numPr>
          <w:ilvl w:val="0"/>
          <w:numId w:val="37"/>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076DB1">
      <w:pPr>
        <w:autoSpaceDE w:val="0"/>
        <w:autoSpaceDN w:val="0"/>
        <w:adjustRightInd w:val="0"/>
        <w:jc w:val="both"/>
        <w:rPr>
          <w:rFonts w:asciiTheme="minorHAnsi" w:hAnsiTheme="minorHAnsi" w:cstheme="minorHAnsi"/>
          <w:color w:val="000000"/>
        </w:rPr>
      </w:pPr>
    </w:p>
    <w:p w:rsidR="00D25D3A" w:rsidRPr="00D25D3A" w:rsidRDefault="00D25D3A" w:rsidP="00D25D3A">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Zmiany w umowie </w:t>
      </w:r>
    </w:p>
    <w:p w:rsidR="00D25D3A" w:rsidRPr="00D25D3A" w:rsidRDefault="00D25D3A" w:rsidP="00D25D3A">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§19</w:t>
      </w:r>
    </w:p>
    <w:p w:rsidR="00D25D3A" w:rsidRPr="00D25D3A" w:rsidRDefault="00D25D3A" w:rsidP="00076DB1">
      <w:pPr>
        <w:numPr>
          <w:ilvl w:val="0"/>
          <w:numId w:val="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zgodnie z art. 144 ust. 1 – Prawa zamówień publicznych. </w:t>
      </w:r>
    </w:p>
    <w:p w:rsidR="00D25D3A" w:rsidRPr="00533167" w:rsidRDefault="00D25D3A" w:rsidP="00076DB1">
      <w:pPr>
        <w:numPr>
          <w:ilvl w:val="0"/>
          <w:numId w:val="9"/>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076DB1">
      <w:pPr>
        <w:numPr>
          <w:ilvl w:val="0"/>
          <w:numId w:val="9"/>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 tym przeprowadzanie prób i sprawdzeń, dokonywanie odbiorów; </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 dokumentacji projektowej warunki terenowe, w szczególności istnienie podziemnych urządzeń, instalacji lub obiektów infrastrukturalnych; </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w:t>
      </w:r>
      <w:r w:rsidRPr="00533167">
        <w:rPr>
          <w:rFonts w:asciiTheme="minorHAnsi" w:hAnsiTheme="minorHAnsi" w:cstheme="minorHAnsi"/>
          <w:noProof/>
          <w:lang w:eastAsia="en-US"/>
        </w:rPr>
        <w:lastRenderedPageBreak/>
        <w:t xml:space="preserve">usunięcia błędów lub wprowadzenia zmian w dokumentacji projektowej lub dokumentacji technicznej urządzeń; </w:t>
      </w:r>
    </w:p>
    <w:p w:rsidR="00D25D3A" w:rsidRPr="00533167" w:rsidRDefault="00D25D3A" w:rsidP="00076DB1">
      <w:pPr>
        <w:numPr>
          <w:ilvl w:val="0"/>
          <w:numId w:val="33"/>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 </w:t>
      </w:r>
    </w:p>
    <w:p w:rsidR="00D25D3A" w:rsidRPr="00533167"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076DB1">
      <w:pPr>
        <w:numPr>
          <w:ilvl w:val="0"/>
          <w:numId w:val="36"/>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D25D3A" w:rsidRPr="00D25D3A" w:rsidRDefault="00D25D3A" w:rsidP="00076DB1">
      <w:pPr>
        <w:numPr>
          <w:ilvl w:val="0"/>
          <w:numId w:val="36"/>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D25D3A" w:rsidRPr="00D25D3A" w:rsidRDefault="00D25D3A" w:rsidP="00076DB1">
      <w:pPr>
        <w:numPr>
          <w:ilvl w:val="0"/>
          <w:numId w:val="32"/>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076DB1">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076DB1">
      <w:pPr>
        <w:numPr>
          <w:ilvl w:val="0"/>
          <w:numId w:val="35"/>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Default="00D25D3A" w:rsidP="00076DB1">
      <w:pPr>
        <w:numPr>
          <w:ilvl w:val="0"/>
          <w:numId w:val="35"/>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3167">
      <w:pPr>
        <w:spacing w:after="200" w:line="276" w:lineRule="auto"/>
        <w:ind w:left="1560"/>
        <w:contextualSpacing/>
        <w:jc w:val="both"/>
        <w:rPr>
          <w:rFonts w:asciiTheme="minorHAnsi" w:hAnsiTheme="minorHAnsi" w:cstheme="minorHAnsi"/>
          <w:noProof/>
          <w:lang w:eastAsia="en-US"/>
        </w:rPr>
      </w:pPr>
    </w:p>
    <w:p w:rsidR="00D25D3A" w:rsidRPr="00D25D3A" w:rsidRDefault="00D25D3A" w:rsidP="00D25D3A">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Tajemnica przedsiębiorstwa </w:t>
      </w:r>
    </w:p>
    <w:p w:rsidR="00D25D3A" w:rsidRPr="00D25D3A" w:rsidRDefault="00D25D3A" w:rsidP="00076DB1">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§20</w:t>
      </w:r>
    </w:p>
    <w:p w:rsidR="00D25D3A" w:rsidRPr="00D25D3A" w:rsidRDefault="00D25D3A" w:rsidP="00076DB1">
      <w:pPr>
        <w:numPr>
          <w:ilvl w:val="3"/>
          <w:numId w:val="5"/>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076DB1">
      <w:pPr>
        <w:numPr>
          <w:ilvl w:val="0"/>
          <w:numId w:val="44"/>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w:t>
      </w:r>
      <w:r w:rsidRPr="00D25D3A">
        <w:rPr>
          <w:rFonts w:asciiTheme="minorHAnsi" w:eastAsia="Arial Unicode MS" w:hAnsiTheme="minorHAnsi" w:cstheme="minorHAnsi"/>
        </w:rPr>
        <w:lastRenderedPageBreak/>
        <w:t>informacji na żądanie sądu, prokuratury, organów podatkowych lub organów kontrolnych oraz w przypadkach wynikających z przepisów prawa powszechnego;</w:t>
      </w:r>
    </w:p>
    <w:p w:rsidR="00D25D3A" w:rsidRPr="00D25D3A" w:rsidRDefault="00D25D3A" w:rsidP="00076DB1">
      <w:pPr>
        <w:numPr>
          <w:ilvl w:val="0"/>
          <w:numId w:val="44"/>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25D3A" w:rsidRDefault="00D25D3A" w:rsidP="00076DB1">
      <w:pPr>
        <w:numPr>
          <w:ilvl w:val="0"/>
          <w:numId w:val="44"/>
        </w:numPr>
        <w:tabs>
          <w:tab w:val="left" w:pos="29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076DB1">
      <w:pPr>
        <w:numPr>
          <w:ilvl w:val="0"/>
          <w:numId w:val="44"/>
        </w:numPr>
        <w:tabs>
          <w:tab w:val="left" w:pos="922"/>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realizacji czynności przy pomocy przeszkolonych oraz świadomych obowiązków i odpowiedzialności z tytułu naruszeń pracowników, a także odpowiedzialności za ich działania jak za własne;</w:t>
      </w:r>
    </w:p>
    <w:p w:rsidR="00D25D3A" w:rsidRPr="00D25D3A" w:rsidRDefault="00D25D3A" w:rsidP="00076DB1">
      <w:pPr>
        <w:numPr>
          <w:ilvl w:val="0"/>
          <w:numId w:val="44"/>
        </w:numPr>
        <w:tabs>
          <w:tab w:val="left" w:pos="929"/>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D25D3A" w:rsidRPr="00D25D3A" w:rsidRDefault="00D25D3A" w:rsidP="00D25D3A">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 xml:space="preserve">Postanowienia końcowe </w:t>
      </w:r>
    </w:p>
    <w:p w:rsidR="00D25D3A" w:rsidRPr="00D25D3A" w:rsidRDefault="00D25D3A" w:rsidP="00D25D3A">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§21</w:t>
      </w:r>
    </w:p>
    <w:p w:rsidR="00D25D3A" w:rsidRPr="00D25D3A" w:rsidRDefault="00D25D3A" w:rsidP="00076DB1">
      <w:pPr>
        <w:numPr>
          <w:ilvl w:val="0"/>
          <w:numId w:val="41"/>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076DB1">
      <w:pPr>
        <w:numPr>
          <w:ilvl w:val="0"/>
          <w:numId w:val="41"/>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076DB1">
      <w:pPr>
        <w:numPr>
          <w:ilvl w:val="0"/>
          <w:numId w:val="41"/>
        </w:numPr>
        <w:spacing w:before="60"/>
        <w:ind w:left="425" w:hanging="425"/>
        <w:contextualSpacing/>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D25D3A">
      <w:pPr>
        <w:spacing w:before="60"/>
        <w:ind w:left="20"/>
        <w:jc w:val="both"/>
        <w:rPr>
          <w:rFonts w:asciiTheme="minorHAnsi" w:eastAsia="Arial Unicode MS" w:hAnsiTheme="minorHAnsi" w:cstheme="minorHAnsi"/>
          <w:u w:val="single"/>
        </w:rPr>
      </w:pPr>
    </w:p>
    <w:p w:rsidR="00D25D3A" w:rsidRDefault="00D25D3A" w:rsidP="00D25D3A">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D25D3A">
      <w:pPr>
        <w:spacing w:before="60"/>
        <w:ind w:left="20"/>
        <w:jc w:val="both"/>
        <w:rPr>
          <w:rFonts w:asciiTheme="minorHAnsi" w:eastAsia="Arial Unicode MS" w:hAnsiTheme="minorHAnsi" w:cstheme="minorHAnsi"/>
        </w:rPr>
      </w:pPr>
    </w:p>
    <w:p w:rsidR="008B4903" w:rsidRDefault="00D25D3A" w:rsidP="00A51F70">
      <w:pPr>
        <w:numPr>
          <w:ilvl w:val="0"/>
          <w:numId w:val="11"/>
        </w:numPr>
        <w:spacing w:before="60" w:after="200"/>
        <w:contextualSpacing/>
        <w:jc w:val="both"/>
        <w:rPr>
          <w:rFonts w:asciiTheme="minorHAnsi" w:eastAsia="Arial Unicode MS" w:hAnsiTheme="minorHAnsi" w:cstheme="minorHAnsi"/>
          <w:noProof/>
          <w:lang w:eastAsia="en-US"/>
        </w:rPr>
      </w:pPr>
      <w:r w:rsidRPr="008B4903">
        <w:rPr>
          <w:rFonts w:asciiTheme="minorHAnsi" w:eastAsia="Arial Unicode MS" w:hAnsiTheme="minorHAnsi" w:cstheme="minorHAnsi"/>
          <w:noProof/>
          <w:lang w:eastAsia="en-US"/>
        </w:rPr>
        <w:t>Załącznik Nr 1 –</w:t>
      </w:r>
      <w:r w:rsidR="008B4903">
        <w:rPr>
          <w:rFonts w:asciiTheme="minorHAnsi" w:eastAsia="Arial Unicode MS" w:hAnsiTheme="minorHAnsi" w:cstheme="minorHAnsi"/>
          <w:noProof/>
          <w:lang w:eastAsia="en-US"/>
        </w:rPr>
        <w:t xml:space="preserve"> Kosztorys</w:t>
      </w:r>
      <w:r w:rsidRPr="008B4903">
        <w:rPr>
          <w:rFonts w:asciiTheme="minorHAnsi" w:eastAsia="Arial Unicode MS" w:hAnsiTheme="minorHAnsi" w:cstheme="minorHAnsi"/>
          <w:noProof/>
          <w:lang w:eastAsia="en-US"/>
        </w:rPr>
        <w:t xml:space="preserve"> </w:t>
      </w:r>
    </w:p>
    <w:p w:rsidR="00D25D3A" w:rsidRPr="008B4903" w:rsidRDefault="00A51F70" w:rsidP="00A51F70">
      <w:pPr>
        <w:numPr>
          <w:ilvl w:val="0"/>
          <w:numId w:val="11"/>
        </w:numPr>
        <w:spacing w:before="60" w:after="200"/>
        <w:contextualSpacing/>
        <w:jc w:val="both"/>
        <w:rPr>
          <w:rFonts w:asciiTheme="minorHAnsi" w:eastAsia="Arial Unicode MS" w:hAnsiTheme="minorHAnsi" w:cstheme="minorHAnsi"/>
          <w:noProof/>
          <w:lang w:eastAsia="en-US"/>
        </w:rPr>
      </w:pPr>
      <w:r w:rsidRPr="008B4903">
        <w:rPr>
          <w:rFonts w:asciiTheme="minorHAnsi" w:eastAsia="Arial Unicode MS" w:hAnsiTheme="minorHAnsi" w:cstheme="minorHAnsi"/>
        </w:rPr>
        <w:t xml:space="preserve">Załącznik Nr 2 – Harmonogram realizacji </w:t>
      </w:r>
    </w:p>
    <w:p w:rsidR="00D25D3A" w:rsidRPr="00D25D3A" w:rsidRDefault="00D25D3A" w:rsidP="00D25D3A">
      <w:pPr>
        <w:spacing w:before="60"/>
        <w:ind w:left="20"/>
        <w:jc w:val="both"/>
        <w:rPr>
          <w:rFonts w:asciiTheme="minorHAnsi" w:eastAsia="Arial Unicode MS" w:hAnsiTheme="minorHAnsi" w:cstheme="minorHAnsi"/>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A51F70" w:rsidRDefault="00A51F70" w:rsidP="00D25D3A">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D25D3A">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D25D3A">
      <w:pPr>
        <w:spacing w:before="60"/>
        <w:ind w:left="480"/>
        <w:rPr>
          <w:rFonts w:asciiTheme="minorHAnsi" w:eastAsia="Arial Unicode MS" w:hAnsiTheme="minorHAnsi" w:cstheme="minorHAnsi"/>
          <w:sz w:val="18"/>
          <w:szCs w:val="18"/>
        </w:rPr>
      </w:pPr>
    </w:p>
    <w:p w:rsidR="001A3F4F" w:rsidRPr="00D25D3A" w:rsidRDefault="001A3F4F" w:rsidP="00D25D3A"/>
    <w:sectPr w:rsidR="001A3F4F" w:rsidRPr="00D25D3A"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5D0" w:rsidRDefault="00CA45D0" w:rsidP="00BF3156">
      <w:r>
        <w:separator/>
      </w:r>
    </w:p>
  </w:endnote>
  <w:endnote w:type="continuationSeparator" w:id="0">
    <w:p w:rsidR="00CA45D0" w:rsidRDefault="00CA45D0"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BF3156" w:rsidRDefault="00BF3156">
        <w:pPr>
          <w:pStyle w:val="Stopka"/>
          <w:pBdr>
            <w:top w:val="single" w:sz="4" w:space="1" w:color="D9D9D9" w:themeColor="background1" w:themeShade="D9"/>
          </w:pBdr>
          <w:jc w:val="right"/>
        </w:pPr>
        <w:r>
          <w:fldChar w:fldCharType="begin"/>
        </w:r>
        <w:r>
          <w:instrText>PAGE   \* MERGEFORMAT</w:instrText>
        </w:r>
        <w:r>
          <w:fldChar w:fldCharType="separate"/>
        </w:r>
        <w:r w:rsidR="0027327F">
          <w:rPr>
            <w:noProof/>
          </w:rPr>
          <w:t>1</w:t>
        </w:r>
        <w:r>
          <w:fldChar w:fldCharType="end"/>
        </w:r>
        <w:r>
          <w:t xml:space="preserve"> | </w:t>
        </w:r>
        <w:r>
          <w:rPr>
            <w:color w:val="808080" w:themeColor="background1" w:themeShade="80"/>
            <w:spacing w:val="60"/>
          </w:rPr>
          <w:t>Strona</w:t>
        </w:r>
      </w:p>
    </w:sdtContent>
  </w:sdt>
  <w:p w:rsidR="00BF3156" w:rsidRDefault="00BF31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5D0" w:rsidRDefault="00CA45D0" w:rsidP="00BF3156">
      <w:r>
        <w:separator/>
      </w:r>
    </w:p>
  </w:footnote>
  <w:footnote w:type="continuationSeparator" w:id="0">
    <w:p w:rsidR="00CA45D0" w:rsidRDefault="00CA45D0"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D3A" w:rsidRPr="00D25D3A" w:rsidRDefault="00D25D3A"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724069B5" wp14:editId="2C2440E9">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05DB03BD" wp14:editId="3E2B1C03">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BF3156" w:rsidRPr="00D25D3A" w:rsidRDefault="008B4903" w:rsidP="00D25D3A">
    <w:pPr>
      <w:pStyle w:val="Nagwek"/>
    </w:pPr>
    <w:r>
      <w:rPr>
        <w:noProof/>
      </w:rPr>
      <w:drawing>
        <wp:anchor distT="0" distB="0" distL="114300" distR="114300" simplePos="0" relativeHeight="251662336" behindDoc="0" locked="0" layoutInCell="1" allowOverlap="1" wp14:anchorId="5A6A92ED" wp14:editId="459378CC">
          <wp:simplePos x="0" y="0"/>
          <wp:positionH relativeFrom="column">
            <wp:posOffset>2232660</wp:posOffset>
          </wp:positionH>
          <wp:positionV relativeFrom="paragraph">
            <wp:posOffset>166370</wp:posOffset>
          </wp:positionV>
          <wp:extent cx="668020" cy="650240"/>
          <wp:effectExtent l="0" t="0" r="0" b="0"/>
          <wp:wrapSquare wrapText="bothSides"/>
          <wp:docPr id="3" name="Obraz 3" descr="Znalezione obrazy dla zapytania 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logo leade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8020" cy="650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9">
    <w:nsid w:val="1F7B668C"/>
    <w:multiLevelType w:val="multilevel"/>
    <w:tmpl w:val="870448F6"/>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0">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1">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26">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BE68A0"/>
    <w:multiLevelType w:val="multilevel"/>
    <w:tmpl w:val="099C175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9">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2273EC5"/>
    <w:multiLevelType w:val="multilevel"/>
    <w:tmpl w:val="7098045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2">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3">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6">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14"/>
  </w:num>
  <w:num w:numId="8">
    <w:abstractNumId w:val="11"/>
  </w:num>
  <w:num w:numId="9">
    <w:abstractNumId w:val="43"/>
  </w:num>
  <w:num w:numId="10">
    <w:abstractNumId w:val="33"/>
  </w:num>
  <w:num w:numId="11">
    <w:abstractNumId w:val="40"/>
  </w:num>
  <w:num w:numId="12">
    <w:abstractNumId w:val="39"/>
  </w:num>
  <w:num w:numId="13">
    <w:abstractNumId w:val="38"/>
  </w:num>
  <w:num w:numId="14">
    <w:abstractNumId w:val="15"/>
  </w:num>
  <w:num w:numId="15">
    <w:abstractNumId w:val="36"/>
  </w:num>
  <w:num w:numId="16">
    <w:abstractNumId w:val="17"/>
  </w:num>
  <w:num w:numId="17">
    <w:abstractNumId w:val="46"/>
  </w:num>
  <w:num w:numId="18">
    <w:abstractNumId w:val="35"/>
  </w:num>
  <w:num w:numId="19">
    <w:abstractNumId w:val="44"/>
  </w:num>
  <w:num w:numId="20">
    <w:abstractNumId w:val="18"/>
  </w:num>
  <w:num w:numId="21">
    <w:abstractNumId w:val="45"/>
  </w:num>
  <w:num w:numId="22">
    <w:abstractNumId w:val="30"/>
  </w:num>
  <w:num w:numId="23">
    <w:abstractNumId w:val="26"/>
  </w:num>
  <w:num w:numId="24">
    <w:abstractNumId w:val="7"/>
  </w:num>
  <w:num w:numId="25">
    <w:abstractNumId w:val="41"/>
  </w:num>
  <w:num w:numId="26">
    <w:abstractNumId w:val="20"/>
  </w:num>
  <w:num w:numId="27">
    <w:abstractNumId w:val="8"/>
  </w:num>
  <w:num w:numId="28">
    <w:abstractNumId w:val="19"/>
  </w:num>
  <w:num w:numId="29">
    <w:abstractNumId w:val="6"/>
  </w:num>
  <w:num w:numId="30">
    <w:abstractNumId w:val="32"/>
  </w:num>
  <w:num w:numId="31">
    <w:abstractNumId w:val="21"/>
  </w:num>
  <w:num w:numId="32">
    <w:abstractNumId w:val="13"/>
  </w:num>
  <w:num w:numId="33">
    <w:abstractNumId w:val="12"/>
  </w:num>
  <w:num w:numId="34">
    <w:abstractNumId w:val="37"/>
  </w:num>
  <w:num w:numId="35">
    <w:abstractNumId w:val="29"/>
  </w:num>
  <w:num w:numId="36">
    <w:abstractNumId w:val="27"/>
  </w:num>
  <w:num w:numId="37">
    <w:abstractNumId w:val="31"/>
  </w:num>
  <w:num w:numId="38">
    <w:abstractNumId w:val="5"/>
  </w:num>
  <w:num w:numId="39">
    <w:abstractNumId w:val="23"/>
  </w:num>
  <w:num w:numId="40">
    <w:abstractNumId w:val="22"/>
  </w:num>
  <w:num w:numId="41">
    <w:abstractNumId w:val="42"/>
  </w:num>
  <w:num w:numId="42">
    <w:abstractNumId w:val="9"/>
  </w:num>
  <w:num w:numId="43">
    <w:abstractNumId w:val="28"/>
  </w:num>
  <w:num w:numId="44">
    <w:abstractNumId w:val="34"/>
  </w:num>
  <w:num w:numId="45">
    <w:abstractNumId w:val="25"/>
  </w:num>
  <w:num w:numId="46">
    <w:abstractNumId w:val="16"/>
  </w:num>
  <w:num w:numId="47">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C60"/>
    <w:rsid w:val="00076DB1"/>
    <w:rsid w:val="00085733"/>
    <w:rsid w:val="00155174"/>
    <w:rsid w:val="00177270"/>
    <w:rsid w:val="001A3F4F"/>
    <w:rsid w:val="00200BE8"/>
    <w:rsid w:val="0027327F"/>
    <w:rsid w:val="002D3228"/>
    <w:rsid w:val="003E1005"/>
    <w:rsid w:val="0041507A"/>
    <w:rsid w:val="004521CA"/>
    <w:rsid w:val="00533167"/>
    <w:rsid w:val="00644A88"/>
    <w:rsid w:val="006D03D3"/>
    <w:rsid w:val="00834F80"/>
    <w:rsid w:val="008667A9"/>
    <w:rsid w:val="008B4903"/>
    <w:rsid w:val="00A51F70"/>
    <w:rsid w:val="00A60850"/>
    <w:rsid w:val="00B04577"/>
    <w:rsid w:val="00B1127C"/>
    <w:rsid w:val="00BF3156"/>
    <w:rsid w:val="00CA45D0"/>
    <w:rsid w:val="00CE756E"/>
    <w:rsid w:val="00D25D3A"/>
    <w:rsid w:val="00D3715A"/>
    <w:rsid w:val="00EE1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4EA3D-480E-4903-B07D-6FDA8F2FF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17</Pages>
  <Words>7178</Words>
  <Characters>43070</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rnowakowski</cp:lastModifiedBy>
  <cp:revision>16</cp:revision>
  <cp:lastPrinted>2017-03-13T08:32:00Z</cp:lastPrinted>
  <dcterms:created xsi:type="dcterms:W3CDTF">2016-09-13T05:50:00Z</dcterms:created>
  <dcterms:modified xsi:type="dcterms:W3CDTF">2017-08-04T09:37:00Z</dcterms:modified>
</cp:coreProperties>
</file>