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6E4D0B" w:rsidRDefault="006E4D0B" w:rsidP="006E4D0B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6E4D0B">
        <w:rPr>
          <w:rFonts w:ascii="Times New Roman" w:hAnsi="Times New Roman" w:cs="Times New Roman"/>
          <w:b/>
          <w:sz w:val="28"/>
          <w:szCs w:val="28"/>
          <w:lang w:val="pl-PL"/>
        </w:rPr>
        <w:t>Przebudowa Targowiska „Mój Rynek” w Wińsku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6E4D0B">
        <w:rPr>
          <w:rFonts w:ascii="Tahoma" w:hAnsi="Tahoma" w:cs="Tahoma"/>
          <w:sz w:val="18"/>
          <w:szCs w:val="18"/>
          <w:lang w:val="pl-PL"/>
        </w:rPr>
        <w:t>Przebudowa Targowiska „Mój Rynek” w Wińsku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224D8A" w:rsidRPr="006033F6" w:rsidRDefault="00224D8A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</w:t>
      </w:r>
      <w:r w:rsidRPr="000204CA">
        <w:rPr>
          <w:rFonts w:ascii="Tahoma" w:hAnsi="Tahoma"/>
          <w:sz w:val="18"/>
          <w:szCs w:val="18"/>
        </w:rPr>
        <w:lastRenderedPageBreak/>
        <w:t xml:space="preserve">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>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5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lastRenderedPageBreak/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3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  <w:lang w:val="pl-PL"/>
        </w:rPr>
        <w:t>(wraz z jego uprawnieniami i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wypełnienienieobowiązkowe</w:t>
      </w:r>
      <w:proofErr w:type="spellEnd"/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E2" w:rsidRDefault="009425E2" w:rsidP="006033F6">
      <w:pPr>
        <w:spacing w:after="0" w:line="240" w:lineRule="auto"/>
      </w:pPr>
      <w:r>
        <w:separator/>
      </w:r>
    </w:p>
  </w:endnote>
  <w:endnote w:type="continuationSeparator" w:id="0">
    <w:p w:rsidR="009425E2" w:rsidRDefault="009425E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D366B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E2" w:rsidRDefault="009425E2" w:rsidP="006033F6">
      <w:pPr>
        <w:spacing w:after="0" w:line="240" w:lineRule="auto"/>
      </w:pPr>
      <w:r>
        <w:separator/>
      </w:r>
    </w:p>
  </w:footnote>
  <w:footnote w:type="continuationSeparator" w:id="0">
    <w:p w:rsidR="009425E2" w:rsidRDefault="009425E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  <w:lang w:val="pl-PL"/>
      </w:rPr>
    </w:pPr>
    <w:r w:rsidRPr="006E4D0B">
      <w:rPr>
        <w:b/>
        <w:sz w:val="20"/>
        <w:szCs w:val="20"/>
        <w:lang w:val="pl-PL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E61BD"/>
    <w:rsid w:val="00133E4F"/>
    <w:rsid w:val="00143545"/>
    <w:rsid w:val="0019265E"/>
    <w:rsid w:val="00224D8A"/>
    <w:rsid w:val="002263D6"/>
    <w:rsid w:val="00241201"/>
    <w:rsid w:val="00291D28"/>
    <w:rsid w:val="002D582A"/>
    <w:rsid w:val="00322983"/>
    <w:rsid w:val="0059692A"/>
    <w:rsid w:val="005A48CF"/>
    <w:rsid w:val="005B6099"/>
    <w:rsid w:val="005F1145"/>
    <w:rsid w:val="006033F6"/>
    <w:rsid w:val="006E4D0B"/>
    <w:rsid w:val="007C166B"/>
    <w:rsid w:val="007D0038"/>
    <w:rsid w:val="0084297D"/>
    <w:rsid w:val="008713C5"/>
    <w:rsid w:val="008F2A88"/>
    <w:rsid w:val="009425E2"/>
    <w:rsid w:val="00A70694"/>
    <w:rsid w:val="00BD366B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8</cp:revision>
  <cp:lastPrinted>2017-11-14T11:27:00Z</cp:lastPrinted>
  <dcterms:created xsi:type="dcterms:W3CDTF">2017-07-12T21:00:00Z</dcterms:created>
  <dcterms:modified xsi:type="dcterms:W3CDTF">2017-11-14T11:33:00Z</dcterms:modified>
</cp:coreProperties>
</file>