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C328" w14:textId="77777777" w:rsidR="00824409" w:rsidRPr="006E3406" w:rsidRDefault="00824409" w:rsidP="008A5496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  <w:b/>
          <w:sz w:val="24"/>
        </w:rPr>
      </w:pPr>
      <w:r w:rsidRPr="006E3406">
        <w:rPr>
          <w:rFonts w:ascii="Times New Roman" w:hAnsi="Times New Roman"/>
          <w:b/>
          <w:sz w:val="24"/>
        </w:rPr>
        <w:t>POSTANOWIENIA OGÓLNE.</w:t>
      </w:r>
    </w:p>
    <w:p w14:paraId="4FB6A51B" w14:textId="032E6459" w:rsidR="00824409" w:rsidRDefault="00824409" w:rsidP="008A5496">
      <w:pPr>
        <w:pStyle w:val="Akapitzlist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4"/>
        </w:rPr>
      </w:pPr>
      <w:r w:rsidRPr="006E3406">
        <w:rPr>
          <w:rFonts w:ascii="Times New Roman" w:hAnsi="Times New Roman"/>
          <w:sz w:val="24"/>
        </w:rPr>
        <w:t xml:space="preserve">Regulamin określa zasady przeprowadzenia przetargu </w:t>
      </w:r>
      <w:r w:rsidR="00F511CB">
        <w:rPr>
          <w:rFonts w:ascii="Times New Roman" w:hAnsi="Times New Roman"/>
          <w:sz w:val="24"/>
        </w:rPr>
        <w:t>pisemnego</w:t>
      </w:r>
      <w:r w:rsidR="00BF004A">
        <w:rPr>
          <w:rFonts w:ascii="Times New Roman" w:hAnsi="Times New Roman"/>
          <w:sz w:val="24"/>
        </w:rPr>
        <w:t>,</w:t>
      </w:r>
      <w:r w:rsidRPr="006E3406">
        <w:rPr>
          <w:rFonts w:ascii="Times New Roman" w:hAnsi="Times New Roman"/>
          <w:sz w:val="24"/>
        </w:rPr>
        <w:t xml:space="preserve"> nieograniczoneg</w:t>
      </w:r>
      <w:r w:rsidR="00BF004A">
        <w:rPr>
          <w:rFonts w:ascii="Times New Roman" w:hAnsi="Times New Roman"/>
          <w:sz w:val="24"/>
        </w:rPr>
        <w:t>o, dotyczącego</w:t>
      </w:r>
      <w:r w:rsidRPr="006E3406">
        <w:rPr>
          <w:rFonts w:ascii="Times New Roman" w:hAnsi="Times New Roman"/>
          <w:sz w:val="24"/>
        </w:rPr>
        <w:t xml:space="preserve"> </w:t>
      </w:r>
      <w:r w:rsidR="005274B6">
        <w:rPr>
          <w:rFonts w:ascii="Times New Roman" w:hAnsi="Times New Roman"/>
          <w:sz w:val="24"/>
        </w:rPr>
        <w:t>sprzedaż</w:t>
      </w:r>
      <w:r w:rsidR="00BF004A">
        <w:rPr>
          <w:rFonts w:ascii="Times New Roman" w:hAnsi="Times New Roman"/>
          <w:sz w:val="24"/>
        </w:rPr>
        <w:t>y</w:t>
      </w:r>
      <w:r w:rsidRPr="006E3406">
        <w:rPr>
          <w:rFonts w:ascii="Times New Roman" w:hAnsi="Times New Roman"/>
          <w:sz w:val="24"/>
        </w:rPr>
        <w:t xml:space="preserve"> nieruchomości </w:t>
      </w:r>
      <w:r w:rsidR="00F511CB">
        <w:rPr>
          <w:rFonts w:ascii="Times New Roman" w:hAnsi="Times New Roman"/>
          <w:sz w:val="24"/>
        </w:rPr>
        <w:t>rolnej</w:t>
      </w:r>
      <w:r w:rsidRPr="006E3406">
        <w:rPr>
          <w:rFonts w:ascii="Times New Roman" w:hAnsi="Times New Roman"/>
          <w:sz w:val="24"/>
        </w:rPr>
        <w:t>, będąc</w:t>
      </w:r>
      <w:r w:rsidR="00555689">
        <w:rPr>
          <w:rFonts w:ascii="Times New Roman" w:hAnsi="Times New Roman"/>
          <w:sz w:val="24"/>
        </w:rPr>
        <w:t>ej</w:t>
      </w:r>
      <w:r w:rsidRPr="006E3406">
        <w:rPr>
          <w:rFonts w:ascii="Times New Roman" w:hAnsi="Times New Roman"/>
          <w:sz w:val="24"/>
        </w:rPr>
        <w:t xml:space="preserve"> własnością </w:t>
      </w:r>
      <w:r w:rsidR="00F511CB">
        <w:rPr>
          <w:rFonts w:ascii="Times New Roman" w:hAnsi="Times New Roman"/>
          <w:sz w:val="24"/>
        </w:rPr>
        <w:t xml:space="preserve">Miasta i </w:t>
      </w:r>
      <w:r w:rsidRPr="006E3406">
        <w:rPr>
          <w:rFonts w:ascii="Times New Roman" w:hAnsi="Times New Roman"/>
          <w:sz w:val="24"/>
        </w:rPr>
        <w:t xml:space="preserve">Gminy </w:t>
      </w:r>
      <w:r w:rsidR="00D82739">
        <w:rPr>
          <w:rFonts w:ascii="Times New Roman" w:hAnsi="Times New Roman"/>
          <w:sz w:val="24"/>
        </w:rPr>
        <w:t>Czerwińsk nad Wisłą</w:t>
      </w:r>
      <w:r w:rsidRPr="006E3406">
        <w:rPr>
          <w:rFonts w:ascii="Times New Roman" w:hAnsi="Times New Roman"/>
          <w:sz w:val="24"/>
        </w:rPr>
        <w:t>.</w:t>
      </w:r>
    </w:p>
    <w:p w14:paraId="2CE8D2E7" w14:textId="77777777" w:rsidR="004F59C0" w:rsidRPr="006E3406" w:rsidRDefault="004F59C0" w:rsidP="008A5496">
      <w:pPr>
        <w:pStyle w:val="Akapitzlist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Integralną częścią regulaminu przetargu jest ogłoszenie o przetargu podane do publicznej wiadomości.</w:t>
      </w:r>
    </w:p>
    <w:p w14:paraId="7AEFB671" w14:textId="77777777" w:rsidR="00824409" w:rsidRPr="006E3406" w:rsidRDefault="00824409" w:rsidP="008A5496">
      <w:pPr>
        <w:pStyle w:val="Akapitzlist"/>
        <w:numPr>
          <w:ilvl w:val="0"/>
          <w:numId w:val="2"/>
        </w:numPr>
        <w:ind w:left="709" w:hanging="349"/>
        <w:jc w:val="both"/>
        <w:rPr>
          <w:rFonts w:ascii="Times New Roman" w:hAnsi="Times New Roman"/>
          <w:sz w:val="24"/>
        </w:rPr>
      </w:pPr>
      <w:r w:rsidRPr="006E3406">
        <w:rPr>
          <w:rFonts w:ascii="Times New Roman" w:hAnsi="Times New Roman"/>
          <w:sz w:val="24"/>
        </w:rPr>
        <w:t>Celem przetargu jest uzyskanie najwyższej ceny.</w:t>
      </w:r>
    </w:p>
    <w:p w14:paraId="2C5572C8" w14:textId="77777777" w:rsidR="00824409" w:rsidRPr="006E3406" w:rsidRDefault="00824409" w:rsidP="008A5496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  <w:b/>
          <w:sz w:val="24"/>
        </w:rPr>
      </w:pPr>
      <w:r w:rsidRPr="006E3406">
        <w:rPr>
          <w:rFonts w:ascii="Times New Roman" w:hAnsi="Times New Roman"/>
          <w:b/>
          <w:sz w:val="24"/>
        </w:rPr>
        <w:t>PODSTAWA PRAWNA PRZEPROWADZENIA PRZETARGU.</w:t>
      </w:r>
    </w:p>
    <w:p w14:paraId="652125A4" w14:textId="58877C65" w:rsidR="00824409" w:rsidRPr="006E3406" w:rsidRDefault="00824409" w:rsidP="008A549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6E3406">
        <w:rPr>
          <w:rFonts w:ascii="Times New Roman" w:hAnsi="Times New Roman"/>
          <w:sz w:val="24"/>
        </w:rPr>
        <w:t xml:space="preserve">Ustawa z dnia 21 sierpnia 1997 r. o gospodarce nieruchomościami (Dz. U. z </w:t>
      </w:r>
      <w:r w:rsidR="00184D3F" w:rsidRPr="00184D3F">
        <w:rPr>
          <w:rFonts w:ascii="Times New Roman" w:hAnsi="Times New Roman"/>
          <w:sz w:val="24"/>
        </w:rPr>
        <w:t>20</w:t>
      </w:r>
      <w:r w:rsidR="00F511CB">
        <w:rPr>
          <w:rFonts w:ascii="Times New Roman" w:hAnsi="Times New Roman"/>
          <w:sz w:val="24"/>
        </w:rPr>
        <w:t>20</w:t>
      </w:r>
      <w:r w:rsidR="00184D3F" w:rsidRPr="00184D3F">
        <w:rPr>
          <w:rFonts w:ascii="Times New Roman" w:hAnsi="Times New Roman"/>
          <w:sz w:val="24"/>
        </w:rPr>
        <w:t xml:space="preserve"> r. poz. </w:t>
      </w:r>
      <w:r w:rsidR="00F511CB">
        <w:rPr>
          <w:rFonts w:ascii="Times New Roman" w:hAnsi="Times New Roman"/>
          <w:sz w:val="24"/>
        </w:rPr>
        <w:t>65</w:t>
      </w:r>
      <w:r w:rsidR="00184D3F" w:rsidRPr="00184D3F">
        <w:rPr>
          <w:rFonts w:ascii="Times New Roman" w:hAnsi="Times New Roman"/>
          <w:sz w:val="24"/>
        </w:rPr>
        <w:t xml:space="preserve"> z </w:t>
      </w:r>
      <w:proofErr w:type="spellStart"/>
      <w:r w:rsidR="00184D3F" w:rsidRPr="00184D3F">
        <w:rPr>
          <w:rFonts w:ascii="Times New Roman" w:hAnsi="Times New Roman"/>
          <w:sz w:val="24"/>
        </w:rPr>
        <w:t>późn</w:t>
      </w:r>
      <w:proofErr w:type="spellEnd"/>
      <w:r w:rsidR="00184D3F" w:rsidRPr="00184D3F">
        <w:rPr>
          <w:rFonts w:ascii="Times New Roman" w:hAnsi="Times New Roman"/>
          <w:sz w:val="24"/>
        </w:rPr>
        <w:t>. zm.</w:t>
      </w:r>
      <w:r w:rsidRPr="006E3406">
        <w:rPr>
          <w:rFonts w:ascii="Times New Roman" w:hAnsi="Times New Roman"/>
          <w:sz w:val="24"/>
        </w:rPr>
        <w:t>).</w:t>
      </w:r>
    </w:p>
    <w:p w14:paraId="43ADED41" w14:textId="77777777" w:rsidR="00824409" w:rsidRPr="006E3406" w:rsidRDefault="00824409" w:rsidP="008A549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6E3406">
        <w:rPr>
          <w:rFonts w:ascii="Times New Roman" w:hAnsi="Times New Roman"/>
          <w:sz w:val="24"/>
        </w:rPr>
        <w:t xml:space="preserve">Rozporządzenie Rady Ministrów z dnia 14 września 2004 r. w sprawie sposobu i trybu przeprowadzania przetargów oraz rokowań na zbycie nieruchomości (Dz. U. </w:t>
      </w:r>
      <w:r w:rsidR="00184D3F" w:rsidRPr="00184D3F">
        <w:rPr>
          <w:rFonts w:ascii="Times New Roman" w:hAnsi="Times New Roman"/>
          <w:sz w:val="24"/>
        </w:rPr>
        <w:t>z 2014 r., poz. 1490</w:t>
      </w:r>
      <w:r w:rsidRPr="006E3406">
        <w:rPr>
          <w:rFonts w:ascii="Times New Roman" w:hAnsi="Times New Roman"/>
          <w:sz w:val="24"/>
        </w:rPr>
        <w:t>).</w:t>
      </w:r>
    </w:p>
    <w:p w14:paraId="0273A6F1" w14:textId="7698C1FE" w:rsidR="001654AC" w:rsidRDefault="0083205D" w:rsidP="001654A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U</w:t>
      </w:r>
      <w:r w:rsidR="00D82739" w:rsidRPr="00D82739">
        <w:rPr>
          <w:rFonts w:ascii="Times New Roman" w:hAnsi="Times New Roman"/>
          <w:iCs/>
          <w:sz w:val="24"/>
        </w:rPr>
        <w:t>chwał</w:t>
      </w:r>
      <w:r>
        <w:rPr>
          <w:rFonts w:ascii="Times New Roman" w:hAnsi="Times New Roman"/>
          <w:iCs/>
          <w:sz w:val="24"/>
        </w:rPr>
        <w:t>y</w:t>
      </w:r>
      <w:r w:rsidR="00D82739" w:rsidRPr="00D82739">
        <w:rPr>
          <w:rFonts w:ascii="Times New Roman" w:hAnsi="Times New Roman"/>
          <w:iCs/>
          <w:sz w:val="24"/>
        </w:rPr>
        <w:t xml:space="preserve"> Rady </w:t>
      </w:r>
      <w:r w:rsidR="00F511CB">
        <w:rPr>
          <w:rFonts w:ascii="Times New Roman" w:hAnsi="Times New Roman"/>
          <w:iCs/>
          <w:sz w:val="24"/>
        </w:rPr>
        <w:t>Miejskiej</w:t>
      </w:r>
      <w:r w:rsidR="00D82739" w:rsidRPr="00D82739">
        <w:rPr>
          <w:rFonts w:ascii="Times New Roman" w:hAnsi="Times New Roman"/>
          <w:iCs/>
          <w:sz w:val="24"/>
        </w:rPr>
        <w:t xml:space="preserve"> w Czerwińsku nad Wisłą</w:t>
      </w:r>
      <w:r w:rsidR="001654AC">
        <w:rPr>
          <w:rFonts w:ascii="Times New Roman" w:hAnsi="Times New Roman"/>
          <w:iCs/>
          <w:sz w:val="24"/>
        </w:rPr>
        <w:t>:</w:t>
      </w:r>
      <w:r w:rsidR="001654AC">
        <w:rPr>
          <w:rFonts w:ascii="Times New Roman" w:hAnsi="Times New Roman"/>
          <w:sz w:val="24"/>
        </w:rPr>
        <w:t xml:space="preserve"> </w:t>
      </w:r>
    </w:p>
    <w:p w14:paraId="29D8143D" w14:textId="1D6EC380" w:rsidR="00824409" w:rsidRDefault="001654AC" w:rsidP="005E01F4">
      <w:pPr>
        <w:pStyle w:val="Akapitzlist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 w:rsidR="00D82739" w:rsidRPr="001654AC">
        <w:rPr>
          <w:rFonts w:ascii="Times New Roman" w:hAnsi="Times New Roman"/>
          <w:iCs/>
          <w:sz w:val="24"/>
        </w:rPr>
        <w:t>Nr </w:t>
      </w:r>
      <w:r w:rsidR="00535B82">
        <w:rPr>
          <w:rFonts w:ascii="Times New Roman" w:hAnsi="Times New Roman"/>
          <w:iCs/>
          <w:sz w:val="24"/>
        </w:rPr>
        <w:t>244/XXX/2018</w:t>
      </w:r>
      <w:r w:rsidR="00D82739" w:rsidRPr="001654AC">
        <w:rPr>
          <w:rFonts w:ascii="Times New Roman" w:hAnsi="Times New Roman"/>
          <w:iCs/>
          <w:sz w:val="24"/>
        </w:rPr>
        <w:t xml:space="preserve"> z dnia </w:t>
      </w:r>
      <w:r w:rsidR="00535B82">
        <w:rPr>
          <w:rFonts w:ascii="Times New Roman" w:hAnsi="Times New Roman"/>
          <w:iCs/>
          <w:sz w:val="24"/>
        </w:rPr>
        <w:t>27 czerwca 2018</w:t>
      </w:r>
      <w:r w:rsidR="00D82739" w:rsidRPr="001654AC">
        <w:rPr>
          <w:rFonts w:ascii="Times New Roman" w:hAnsi="Times New Roman"/>
          <w:iCs/>
          <w:sz w:val="24"/>
        </w:rPr>
        <w:t xml:space="preserve"> r. w sprawie </w:t>
      </w:r>
      <w:r w:rsidR="00535B82">
        <w:rPr>
          <w:rFonts w:ascii="Times New Roman" w:hAnsi="Times New Roman"/>
          <w:iCs/>
          <w:sz w:val="24"/>
        </w:rPr>
        <w:t>zbycia nieruchomości zabudowanej</w:t>
      </w:r>
    </w:p>
    <w:p w14:paraId="010A9B1F" w14:textId="6EB77455" w:rsidR="00824409" w:rsidRPr="006E3406" w:rsidRDefault="00A900FE" w:rsidP="008A5496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824409" w:rsidRPr="006E3406">
        <w:rPr>
          <w:rFonts w:ascii="Times New Roman" w:hAnsi="Times New Roman"/>
          <w:b/>
          <w:sz w:val="24"/>
        </w:rPr>
        <w:t>PRZEDMIOT PRZETARGU I JEGO CENA.</w:t>
      </w:r>
    </w:p>
    <w:p w14:paraId="4E994BB6" w14:textId="6D34C09B" w:rsidR="004F59C0" w:rsidRPr="00535B82" w:rsidRDefault="00824409" w:rsidP="004F59C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</w:rPr>
      </w:pPr>
      <w:r w:rsidRPr="00535B82">
        <w:rPr>
          <w:rFonts w:ascii="Times New Roman" w:hAnsi="Times New Roman"/>
          <w:sz w:val="24"/>
        </w:rPr>
        <w:t>Przedmiotem przetargu</w:t>
      </w:r>
      <w:r w:rsidR="005274B6" w:rsidRPr="00535B82">
        <w:rPr>
          <w:rFonts w:ascii="Times New Roman" w:hAnsi="Times New Roman"/>
          <w:sz w:val="24"/>
        </w:rPr>
        <w:t xml:space="preserve"> jest nie</w:t>
      </w:r>
      <w:r w:rsidRPr="00535B82">
        <w:rPr>
          <w:rFonts w:ascii="Times New Roman" w:hAnsi="Times New Roman"/>
          <w:sz w:val="24"/>
        </w:rPr>
        <w:t>ruchomoś</w:t>
      </w:r>
      <w:r w:rsidR="00555689" w:rsidRPr="00535B82">
        <w:rPr>
          <w:rFonts w:ascii="Times New Roman" w:hAnsi="Times New Roman"/>
          <w:sz w:val="24"/>
        </w:rPr>
        <w:t>ć</w:t>
      </w:r>
      <w:r w:rsidRPr="00535B82">
        <w:rPr>
          <w:rFonts w:ascii="Times New Roman" w:hAnsi="Times New Roman"/>
          <w:sz w:val="24"/>
        </w:rPr>
        <w:t xml:space="preserve"> gruntow</w:t>
      </w:r>
      <w:r w:rsidR="00555689" w:rsidRPr="00535B82">
        <w:rPr>
          <w:rFonts w:ascii="Times New Roman" w:hAnsi="Times New Roman"/>
          <w:sz w:val="24"/>
        </w:rPr>
        <w:t>a</w:t>
      </w:r>
      <w:r w:rsidR="00535B82" w:rsidRPr="00535B82">
        <w:rPr>
          <w:rFonts w:ascii="Times New Roman" w:hAnsi="Times New Roman"/>
          <w:sz w:val="24"/>
        </w:rPr>
        <w:t xml:space="preserve"> zabudowana</w:t>
      </w:r>
      <w:r w:rsidR="00B12F33" w:rsidRPr="00535B82">
        <w:rPr>
          <w:rFonts w:ascii="Times New Roman" w:hAnsi="Times New Roman"/>
          <w:sz w:val="24"/>
        </w:rPr>
        <w:t xml:space="preserve"> </w:t>
      </w:r>
      <w:r w:rsidR="0085206A" w:rsidRPr="00535B82">
        <w:rPr>
          <w:rFonts w:ascii="Times New Roman" w:hAnsi="Times New Roman"/>
          <w:sz w:val="24"/>
        </w:rPr>
        <w:t>opisan</w:t>
      </w:r>
      <w:r w:rsidR="00555689" w:rsidRPr="00535B82">
        <w:rPr>
          <w:rFonts w:ascii="Times New Roman" w:hAnsi="Times New Roman"/>
          <w:sz w:val="24"/>
        </w:rPr>
        <w:t>a</w:t>
      </w:r>
      <w:r w:rsidR="0085206A" w:rsidRPr="00535B82">
        <w:rPr>
          <w:rFonts w:ascii="Times New Roman" w:hAnsi="Times New Roman"/>
          <w:sz w:val="24"/>
        </w:rPr>
        <w:t xml:space="preserve"> </w:t>
      </w:r>
      <w:r w:rsidR="001654AC" w:rsidRPr="00535B82">
        <w:rPr>
          <w:rFonts w:ascii="Times New Roman" w:hAnsi="Times New Roman"/>
          <w:sz w:val="24"/>
        </w:rPr>
        <w:t>poniżej</w:t>
      </w:r>
      <w:r w:rsidR="00535B82" w:rsidRPr="00535B82">
        <w:rPr>
          <w:rFonts w:ascii="Times New Roman" w:hAnsi="Times New Roman"/>
          <w:sz w:val="24"/>
        </w:rPr>
        <w:t>:</w:t>
      </w:r>
    </w:p>
    <w:tbl>
      <w:tblPr>
        <w:tblpPr w:leftFromText="141" w:rightFromText="141" w:vertAnchor="text" w:horzAnchor="margin" w:tblpXSpec="center" w:tblpY="68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318"/>
        <w:gridCol w:w="1372"/>
        <w:gridCol w:w="1400"/>
        <w:gridCol w:w="1123"/>
        <w:gridCol w:w="1271"/>
      </w:tblGrid>
      <w:tr w:rsidR="005274B6" w:rsidRPr="005111BB" w14:paraId="1066DAF6" w14:textId="77777777" w:rsidTr="005274B6">
        <w:trPr>
          <w:trHeight w:val="841"/>
        </w:trPr>
        <w:tc>
          <w:tcPr>
            <w:tcW w:w="511" w:type="dxa"/>
            <w:shd w:val="clear" w:color="auto" w:fill="F2DBDB"/>
          </w:tcPr>
          <w:p w14:paraId="69FA69B5" w14:textId="77777777" w:rsidR="005274B6" w:rsidRDefault="005274B6" w:rsidP="00A946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B62C28" w14:textId="0A430697" w:rsidR="005274B6" w:rsidRPr="00C1656E" w:rsidRDefault="005274B6" w:rsidP="00A946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18" w:type="dxa"/>
            <w:shd w:val="clear" w:color="auto" w:fill="F2DBDB"/>
            <w:vAlign w:val="center"/>
          </w:tcPr>
          <w:p w14:paraId="3D61BA53" w14:textId="77777777" w:rsidR="00535B82" w:rsidRDefault="005274B6" w:rsidP="00535B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56E">
              <w:rPr>
                <w:rFonts w:ascii="Times New Roman" w:hAnsi="Times New Roman"/>
                <w:b/>
                <w:sz w:val="20"/>
                <w:szCs w:val="20"/>
              </w:rPr>
              <w:t xml:space="preserve">Oznaczenie nieruchomości wg katastru nieruchomości </w:t>
            </w:r>
          </w:p>
          <w:p w14:paraId="55C8C77B" w14:textId="466F782A" w:rsidR="005274B6" w:rsidRPr="00C1656E" w:rsidRDefault="005274B6" w:rsidP="00535B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56E">
              <w:rPr>
                <w:rFonts w:ascii="Times New Roman" w:hAnsi="Times New Roman"/>
                <w:b/>
                <w:sz w:val="20"/>
                <w:szCs w:val="20"/>
              </w:rPr>
              <w:t>oraz Księgi Wieczystej</w:t>
            </w:r>
          </w:p>
        </w:tc>
        <w:tc>
          <w:tcPr>
            <w:tcW w:w="1372" w:type="dxa"/>
            <w:shd w:val="clear" w:color="auto" w:fill="F2DBDB"/>
            <w:vAlign w:val="center"/>
          </w:tcPr>
          <w:p w14:paraId="2BDF4945" w14:textId="32EB70C9" w:rsidR="005274B6" w:rsidRPr="00A900FE" w:rsidRDefault="005274B6" w:rsidP="005556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0FE">
              <w:rPr>
                <w:rFonts w:ascii="Times New Roman" w:hAnsi="Times New Roman"/>
                <w:b/>
                <w:sz w:val="20"/>
                <w:szCs w:val="20"/>
              </w:rPr>
              <w:t xml:space="preserve">Powierzchnia 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sprzedaży</w:t>
            </w:r>
            <w:r w:rsidRPr="00A900FE">
              <w:rPr>
                <w:rFonts w:ascii="Times New Roman" w:hAnsi="Times New Roman"/>
                <w:b/>
                <w:sz w:val="20"/>
                <w:szCs w:val="20"/>
              </w:rPr>
              <w:t xml:space="preserve"> ogółem</w:t>
            </w:r>
          </w:p>
        </w:tc>
        <w:tc>
          <w:tcPr>
            <w:tcW w:w="1400" w:type="dxa"/>
            <w:shd w:val="clear" w:color="auto" w:fill="F2DBDB"/>
            <w:vAlign w:val="center"/>
          </w:tcPr>
          <w:p w14:paraId="300AB695" w14:textId="77777777" w:rsidR="005274B6" w:rsidRPr="00C1656E" w:rsidRDefault="005274B6" w:rsidP="00A946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56E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wywoławcza</w:t>
            </w:r>
          </w:p>
        </w:tc>
        <w:tc>
          <w:tcPr>
            <w:tcW w:w="1123" w:type="dxa"/>
            <w:shd w:val="clear" w:color="auto" w:fill="F2DBDB"/>
            <w:vAlign w:val="center"/>
          </w:tcPr>
          <w:p w14:paraId="260B35CB" w14:textId="77777777" w:rsidR="005274B6" w:rsidRPr="00C1656E" w:rsidRDefault="005274B6" w:rsidP="00A946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56E">
              <w:rPr>
                <w:rFonts w:ascii="Times New Roman" w:hAnsi="Times New Roman"/>
                <w:b/>
                <w:sz w:val="20"/>
                <w:szCs w:val="20"/>
              </w:rPr>
              <w:t>Wadium</w:t>
            </w:r>
          </w:p>
        </w:tc>
        <w:tc>
          <w:tcPr>
            <w:tcW w:w="1271" w:type="dxa"/>
            <w:shd w:val="clear" w:color="auto" w:fill="F2DBDB"/>
            <w:vAlign w:val="center"/>
          </w:tcPr>
          <w:p w14:paraId="171B610D" w14:textId="77777777" w:rsidR="005274B6" w:rsidRPr="00C1656E" w:rsidRDefault="005274B6" w:rsidP="00A946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Postąpienie</w:t>
            </w:r>
          </w:p>
        </w:tc>
      </w:tr>
      <w:tr w:rsidR="005274B6" w:rsidRPr="005111BB" w14:paraId="297EA25D" w14:textId="77777777" w:rsidTr="00535B82">
        <w:trPr>
          <w:trHeight w:val="919"/>
        </w:trPr>
        <w:tc>
          <w:tcPr>
            <w:tcW w:w="511" w:type="dxa"/>
          </w:tcPr>
          <w:p w14:paraId="54EABB6D" w14:textId="77777777" w:rsidR="005274B6" w:rsidRPr="00C1656E" w:rsidRDefault="005274B6" w:rsidP="00A946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45EE0D4B" w14:textId="368C655B" w:rsidR="005274B6" w:rsidRPr="00CE34E1" w:rsidRDefault="005274B6" w:rsidP="00A946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4E1">
              <w:rPr>
                <w:rFonts w:ascii="Times New Roman" w:hAnsi="Times New Roman"/>
                <w:b/>
                <w:sz w:val="20"/>
                <w:szCs w:val="20"/>
              </w:rPr>
              <w:t>Obręb 142004_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E34E1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 Zdziarka</w:t>
            </w:r>
          </w:p>
          <w:p w14:paraId="5880C5BE" w14:textId="10D4056B" w:rsidR="005274B6" w:rsidRPr="00CE34E1" w:rsidRDefault="005274B6" w:rsidP="00A946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4E1">
              <w:rPr>
                <w:rFonts w:ascii="Times New Roman" w:hAnsi="Times New Roman"/>
                <w:b/>
                <w:sz w:val="20"/>
                <w:szCs w:val="20"/>
              </w:rPr>
              <w:t xml:space="preserve">Dz. nr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77/</w:t>
            </w:r>
            <w:r w:rsidR="0058310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290D173D" w14:textId="5503ECA0" w:rsidR="005274B6" w:rsidRPr="00CE34E1" w:rsidRDefault="005274B6" w:rsidP="00F511C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4E1">
              <w:rPr>
                <w:rFonts w:ascii="Times New Roman" w:hAnsi="Times New Roman"/>
                <w:b/>
                <w:sz w:val="20"/>
                <w:szCs w:val="20"/>
              </w:rPr>
              <w:t>KW PL1L/000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36662/0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042F1BD" w14:textId="6A508008" w:rsidR="005274B6" w:rsidRPr="00A900FE" w:rsidRDefault="005274B6" w:rsidP="007742C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0.1786</w:t>
            </w:r>
            <w:r w:rsidRPr="00A900FE">
              <w:rPr>
                <w:rFonts w:ascii="Times New Roman" w:hAnsi="Times New Roman"/>
                <w:b/>
                <w:sz w:val="20"/>
                <w:szCs w:val="20"/>
              </w:rPr>
              <w:t xml:space="preserve"> ha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340B05B" w14:textId="7CCDE0EF" w:rsidR="005274B6" w:rsidRPr="00CE34E1" w:rsidRDefault="005274B6" w:rsidP="00A946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41 0</w:t>
            </w:r>
            <w:r w:rsidRPr="00CE34E1">
              <w:rPr>
                <w:rFonts w:ascii="Times New Roman" w:hAnsi="Times New Roman"/>
                <w:b/>
                <w:sz w:val="20"/>
                <w:szCs w:val="20"/>
              </w:rPr>
              <w:t>00,00 zł</w:t>
            </w:r>
          </w:p>
        </w:tc>
        <w:tc>
          <w:tcPr>
            <w:tcW w:w="1123" w:type="dxa"/>
            <w:vAlign w:val="center"/>
          </w:tcPr>
          <w:p w14:paraId="43BA84F3" w14:textId="0DC3BBE0" w:rsidR="005274B6" w:rsidRPr="00CE34E1" w:rsidRDefault="005274B6" w:rsidP="00A946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2 050</w:t>
            </w:r>
            <w:r w:rsidRPr="00CE34E1">
              <w:rPr>
                <w:rFonts w:ascii="Times New Roman" w:hAnsi="Times New Roman"/>
                <w:b/>
                <w:sz w:val="20"/>
                <w:szCs w:val="20"/>
              </w:rPr>
              <w:t>,00 zł</w:t>
            </w:r>
          </w:p>
        </w:tc>
        <w:tc>
          <w:tcPr>
            <w:tcW w:w="1271" w:type="dxa"/>
            <w:vAlign w:val="center"/>
          </w:tcPr>
          <w:p w14:paraId="658B3BB6" w14:textId="304C2829" w:rsidR="005274B6" w:rsidRPr="00CE34E1" w:rsidRDefault="005274B6" w:rsidP="00A946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CE34E1">
              <w:rPr>
                <w:rFonts w:ascii="Times New Roman" w:hAnsi="Times New Roman"/>
                <w:b/>
                <w:sz w:val="20"/>
                <w:szCs w:val="20"/>
              </w:rPr>
              <w:t>0,00 zł</w:t>
            </w:r>
          </w:p>
        </w:tc>
      </w:tr>
    </w:tbl>
    <w:p w14:paraId="7A279D2D" w14:textId="77777777" w:rsidR="00824409" w:rsidRPr="00472A87" w:rsidRDefault="00824409" w:rsidP="008A5496">
      <w:pPr>
        <w:pStyle w:val="Akapitzlist"/>
        <w:spacing w:after="0"/>
        <w:jc w:val="both"/>
        <w:rPr>
          <w:rFonts w:ascii="Times New Roman" w:hAnsi="Times New Roman"/>
          <w:b/>
          <w:sz w:val="24"/>
        </w:rPr>
      </w:pPr>
    </w:p>
    <w:p w14:paraId="52A72C8C" w14:textId="77777777" w:rsidR="00535B82" w:rsidRDefault="00535B82" w:rsidP="00535B82">
      <w:pPr>
        <w:spacing w:after="0"/>
        <w:ind w:left="714"/>
        <w:jc w:val="both"/>
        <w:rPr>
          <w:rFonts w:ascii="Times New Roman" w:hAnsi="Times New Roman"/>
          <w:sz w:val="24"/>
        </w:rPr>
      </w:pPr>
    </w:p>
    <w:p w14:paraId="5CC5CDEB" w14:textId="0E3013DB" w:rsidR="008A5496" w:rsidRDefault="00A946CA" w:rsidP="008A5496">
      <w:pPr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Szczegółow</w:t>
      </w:r>
      <w:r w:rsidR="00EB60AD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opis przedmiot</w:t>
      </w:r>
      <w:r w:rsidR="009D0E12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przetargu podan</w:t>
      </w:r>
      <w:r w:rsidR="00BF004A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do publicznej wiadomości w ogłoszeniu o przetargu, z treścią którego osoba zainteresowana</w:t>
      </w:r>
      <w:r w:rsidR="00603F96">
        <w:rPr>
          <w:rFonts w:ascii="Times New Roman" w:hAnsi="Times New Roman"/>
          <w:sz w:val="24"/>
        </w:rPr>
        <w:t xml:space="preserve"> przed</w:t>
      </w:r>
      <w:r>
        <w:rPr>
          <w:rFonts w:ascii="Times New Roman" w:hAnsi="Times New Roman"/>
          <w:sz w:val="24"/>
        </w:rPr>
        <w:t xml:space="preserve"> przystąpieniem do przetargu powinna się zapoznać.</w:t>
      </w:r>
    </w:p>
    <w:p w14:paraId="2B7992E7" w14:textId="0CB0B4B6" w:rsidR="00314605" w:rsidRDefault="00535B82" w:rsidP="008A549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Przedmiotowa </w:t>
      </w:r>
      <w:r w:rsidR="008A5496" w:rsidRPr="008A5496">
        <w:rPr>
          <w:rFonts w:ascii="Times New Roman" w:hAnsi="Times New Roman"/>
          <w:sz w:val="24"/>
        </w:rPr>
        <w:t>nieruchomoś</w:t>
      </w:r>
      <w:r w:rsidR="00A900FE">
        <w:rPr>
          <w:rFonts w:ascii="Times New Roman" w:hAnsi="Times New Roman"/>
          <w:sz w:val="24"/>
        </w:rPr>
        <w:t xml:space="preserve">ć </w:t>
      </w:r>
      <w:r w:rsidR="008A5496" w:rsidRPr="008A5496">
        <w:rPr>
          <w:rFonts w:ascii="Times New Roman" w:hAnsi="Times New Roman"/>
          <w:sz w:val="24"/>
        </w:rPr>
        <w:t>woln</w:t>
      </w:r>
      <w:r w:rsidR="00555689">
        <w:rPr>
          <w:rFonts w:ascii="Times New Roman" w:hAnsi="Times New Roman"/>
          <w:sz w:val="24"/>
        </w:rPr>
        <w:t xml:space="preserve">a jest </w:t>
      </w:r>
      <w:r w:rsidR="008A5496" w:rsidRPr="008A5496">
        <w:rPr>
          <w:rFonts w:ascii="Times New Roman" w:hAnsi="Times New Roman"/>
          <w:sz w:val="24"/>
        </w:rPr>
        <w:t>od praw i roszczeń osób trzecich, woln</w:t>
      </w:r>
      <w:r w:rsidR="00BF004A">
        <w:rPr>
          <w:rFonts w:ascii="Times New Roman" w:hAnsi="Times New Roman"/>
          <w:sz w:val="24"/>
        </w:rPr>
        <w:t>a</w:t>
      </w:r>
      <w:r w:rsidR="008A5496" w:rsidRPr="008A5496">
        <w:rPr>
          <w:rFonts w:ascii="Times New Roman" w:hAnsi="Times New Roman"/>
          <w:sz w:val="24"/>
        </w:rPr>
        <w:t xml:space="preserve"> od hipotek i innych praw rzeczowych i nie ma przeszkód do rozporządzania nią</w:t>
      </w:r>
      <w:r w:rsidR="00963AF7" w:rsidRPr="008A5496">
        <w:rPr>
          <w:rFonts w:ascii="Times New Roman" w:hAnsi="Times New Roman"/>
          <w:sz w:val="24"/>
        </w:rPr>
        <w:t>.</w:t>
      </w:r>
    </w:p>
    <w:p w14:paraId="113226B9" w14:textId="5405B9E8" w:rsidR="00535B82" w:rsidRDefault="00535B82" w:rsidP="008A549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nieruchomości, przy podpisaniu aktu notarialnego, zostanie ustanowiona służebność osobista mieszkania, na rzecz dotychczasowej mieszkanki, w budynku mieszkalnym wraz z korzystaniem z części nieruchomości o powierzchni 184 m</w:t>
      </w:r>
      <w:r>
        <w:rPr>
          <w:rFonts w:ascii="Times New Roman" w:hAnsi="Times New Roman"/>
          <w:sz w:val="24"/>
          <w:vertAlign w:val="superscript"/>
        </w:rPr>
        <w:t>2</w:t>
      </w:r>
      <w:r w:rsidR="00B3477D">
        <w:rPr>
          <w:rFonts w:ascii="Times New Roman" w:hAnsi="Times New Roman"/>
          <w:sz w:val="24"/>
        </w:rPr>
        <w:t>.</w:t>
      </w:r>
    </w:p>
    <w:p w14:paraId="50AC5517" w14:textId="1E578C5E" w:rsidR="00A900FE" w:rsidRPr="00A900FE" w:rsidRDefault="00A900FE" w:rsidP="00A900FE">
      <w:pPr>
        <w:numPr>
          <w:ilvl w:val="0"/>
          <w:numId w:val="1"/>
        </w:numPr>
        <w:ind w:left="709" w:hanging="34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kern w:val="3"/>
          <w:sz w:val="24"/>
          <w:lang w:eastAsia="pl-PL" w:bidi="hi-IN"/>
        </w:rPr>
        <w:t xml:space="preserve"> </w:t>
      </w:r>
      <w:r w:rsidR="00B3477D" w:rsidRPr="00B3477D">
        <w:rPr>
          <w:rFonts w:ascii="Times New Roman" w:hAnsi="Times New Roman"/>
          <w:bCs/>
          <w:sz w:val="24"/>
        </w:rPr>
        <w:t>Nieruchomość przeznaczona do sprzedaży</w:t>
      </w:r>
      <w:r w:rsidR="00BF004A">
        <w:rPr>
          <w:rFonts w:ascii="Times New Roman" w:hAnsi="Times New Roman"/>
          <w:bCs/>
          <w:sz w:val="24"/>
        </w:rPr>
        <w:t>,</w:t>
      </w:r>
      <w:r w:rsidR="00B3477D" w:rsidRPr="00B3477D">
        <w:rPr>
          <w:rFonts w:ascii="Times New Roman" w:hAnsi="Times New Roman"/>
          <w:bCs/>
          <w:sz w:val="24"/>
        </w:rPr>
        <w:t xml:space="preserve"> zgodnie  z art. 43 ust. 1 pkt 9 i 10 Ustawy  z  dnia  11 marca 2004 r  o  podatku  od   towarów  i usług  (Dz. U. z 2020 r. , poz. 106 z </w:t>
      </w:r>
      <w:proofErr w:type="spellStart"/>
      <w:r w:rsidR="00B3477D" w:rsidRPr="00B3477D">
        <w:rPr>
          <w:rFonts w:ascii="Times New Roman" w:hAnsi="Times New Roman"/>
          <w:bCs/>
          <w:sz w:val="24"/>
        </w:rPr>
        <w:t>późn</w:t>
      </w:r>
      <w:proofErr w:type="spellEnd"/>
      <w:r w:rsidR="00B3477D" w:rsidRPr="00B3477D">
        <w:rPr>
          <w:rFonts w:ascii="Times New Roman" w:hAnsi="Times New Roman"/>
          <w:bCs/>
          <w:sz w:val="24"/>
        </w:rPr>
        <w:t>. zm.)</w:t>
      </w:r>
      <w:r w:rsidR="00BF004A">
        <w:rPr>
          <w:rFonts w:ascii="Times New Roman" w:hAnsi="Times New Roman"/>
          <w:bCs/>
          <w:sz w:val="24"/>
        </w:rPr>
        <w:t>,</w:t>
      </w:r>
      <w:r w:rsidR="00B3477D" w:rsidRPr="00B3477D">
        <w:rPr>
          <w:rFonts w:ascii="Times New Roman" w:hAnsi="Times New Roman"/>
          <w:bCs/>
          <w:sz w:val="24"/>
        </w:rPr>
        <w:t xml:space="preserve"> jest zwolniona  z  podatku  VAT.</w:t>
      </w:r>
      <w:r w:rsidRPr="00A900FE">
        <w:rPr>
          <w:rFonts w:ascii="Times New Roman" w:hAnsi="Times New Roman"/>
          <w:bCs/>
          <w:sz w:val="24"/>
        </w:rPr>
        <w:t>.</w:t>
      </w:r>
    </w:p>
    <w:p w14:paraId="577DEA97" w14:textId="7E493103" w:rsidR="00824409" w:rsidRPr="00A900FE" w:rsidRDefault="00824409" w:rsidP="00236D77">
      <w:pPr>
        <w:numPr>
          <w:ilvl w:val="0"/>
          <w:numId w:val="1"/>
        </w:numPr>
        <w:spacing w:after="0"/>
        <w:ind w:left="709" w:hanging="349"/>
        <w:jc w:val="both"/>
        <w:rPr>
          <w:rFonts w:ascii="Times New Roman" w:hAnsi="Times New Roman"/>
          <w:b/>
          <w:sz w:val="24"/>
        </w:rPr>
      </w:pPr>
      <w:r w:rsidRPr="00A900FE">
        <w:rPr>
          <w:rFonts w:ascii="Times New Roman" w:hAnsi="Times New Roman"/>
          <w:b/>
          <w:sz w:val="24"/>
        </w:rPr>
        <w:t>WARUNKI I ZASADY UCZESTNICTWA W PRZETARGU.</w:t>
      </w:r>
    </w:p>
    <w:p w14:paraId="149D7641" w14:textId="77777777" w:rsidR="006E3406" w:rsidRDefault="006E3406" w:rsidP="00236D7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6E3406">
        <w:rPr>
          <w:rFonts w:ascii="Times New Roman" w:hAnsi="Times New Roman"/>
          <w:sz w:val="24"/>
        </w:rPr>
        <w:t>Uczestnikiem przetargu może być osoba fizyczna i osoba prawna.</w:t>
      </w:r>
    </w:p>
    <w:p w14:paraId="5BB253CB" w14:textId="77777777" w:rsidR="0059422C" w:rsidRDefault="0059422C" w:rsidP="008A549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przetargu mogą brać udział osoby, które:</w:t>
      </w:r>
    </w:p>
    <w:p w14:paraId="63456A7C" w14:textId="77777777" w:rsidR="00C16F8E" w:rsidRDefault="00C16F8E" w:rsidP="008A549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wniosą wadium w wysokości, formie, terminie i miejscu </w:t>
      </w:r>
      <w:bookmarkStart w:id="0" w:name="_Hlk525891770"/>
      <w:r>
        <w:rPr>
          <w:rFonts w:ascii="Times New Roman" w:hAnsi="Times New Roman"/>
          <w:sz w:val="24"/>
        </w:rPr>
        <w:t>określony</w:t>
      </w:r>
      <w:r w:rsidR="00ED79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w ogłoszeniu o przetargu,</w:t>
      </w:r>
    </w:p>
    <w:bookmarkEnd w:id="0"/>
    <w:p w14:paraId="74EA5CE0" w14:textId="77777777" w:rsidR="006D288C" w:rsidRDefault="00C16F8E" w:rsidP="008A549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Pr="00C16F8E">
        <w:rPr>
          <w:rFonts w:ascii="Times New Roman" w:hAnsi="Times New Roman"/>
          <w:sz w:val="24"/>
        </w:rPr>
        <w:t xml:space="preserve">adium należy wpłacić w pieniądzu na konto </w:t>
      </w:r>
      <w:r w:rsidR="00ED79BC" w:rsidRPr="00ED79BC">
        <w:rPr>
          <w:rFonts w:ascii="Liberation Serif" w:eastAsia="Lucida Sans Unicode" w:hAnsi="Liberation Serif" w:cs="Liberation Serif"/>
          <w:b/>
          <w:color w:val="000000"/>
          <w:kern w:val="2"/>
          <w:sz w:val="24"/>
          <w:szCs w:val="24"/>
        </w:rPr>
        <w:t>Urzędu</w:t>
      </w:r>
      <w:r w:rsidR="006D288C">
        <w:rPr>
          <w:rFonts w:ascii="Liberation Serif" w:eastAsia="Lucida Sans Unicode" w:hAnsi="Liberation Serif" w:cs="Liberation Serif"/>
          <w:b/>
          <w:color w:val="000000"/>
          <w:kern w:val="2"/>
          <w:sz w:val="24"/>
          <w:szCs w:val="24"/>
        </w:rPr>
        <w:t xml:space="preserve"> Miasta i </w:t>
      </w:r>
      <w:r w:rsidR="00ED79BC" w:rsidRPr="00ED79BC">
        <w:rPr>
          <w:rFonts w:ascii="Liberation Serif" w:eastAsia="Lucida Sans Unicode" w:hAnsi="Liberation Serif" w:cs="Liberation Serif"/>
          <w:b/>
          <w:color w:val="000000"/>
          <w:kern w:val="2"/>
          <w:sz w:val="24"/>
          <w:szCs w:val="24"/>
        </w:rPr>
        <w:t xml:space="preserve"> </w:t>
      </w:r>
      <w:bookmarkStart w:id="1" w:name="_Hlk525893987"/>
      <w:r w:rsidR="00ED79BC" w:rsidRPr="00ED79BC">
        <w:rPr>
          <w:rFonts w:ascii="Liberation Serif" w:eastAsia="Lucida Sans Unicode" w:hAnsi="Liberation Serif" w:cs="Liberation Serif"/>
          <w:b/>
          <w:color w:val="000000"/>
          <w:kern w:val="2"/>
          <w:sz w:val="24"/>
          <w:szCs w:val="24"/>
        </w:rPr>
        <w:t>Gminy</w:t>
      </w:r>
      <w:r w:rsidR="006D288C">
        <w:rPr>
          <w:rFonts w:ascii="Liberation Serif" w:eastAsia="Lucida Sans Unicode" w:hAnsi="Liberation Serif" w:cs="Liberation Serif"/>
          <w:b/>
          <w:color w:val="000000"/>
          <w:kern w:val="2"/>
          <w:sz w:val="24"/>
          <w:szCs w:val="24"/>
        </w:rPr>
        <w:t xml:space="preserve"> w</w:t>
      </w:r>
      <w:r w:rsidR="00ED79BC" w:rsidRPr="00ED79BC">
        <w:rPr>
          <w:rFonts w:ascii="Liberation Serif" w:eastAsia="Lucida Sans Unicode" w:hAnsi="Liberation Serif" w:cs="Liberation Serif"/>
          <w:b/>
          <w:color w:val="000000"/>
          <w:kern w:val="2"/>
          <w:sz w:val="24"/>
          <w:szCs w:val="24"/>
        </w:rPr>
        <w:t xml:space="preserve"> Czerwińsk</w:t>
      </w:r>
      <w:r w:rsidR="006D288C">
        <w:rPr>
          <w:rFonts w:ascii="Liberation Serif" w:eastAsia="Lucida Sans Unicode" w:hAnsi="Liberation Serif" w:cs="Liberation Serif"/>
          <w:b/>
          <w:color w:val="000000"/>
          <w:kern w:val="2"/>
          <w:sz w:val="24"/>
          <w:szCs w:val="24"/>
        </w:rPr>
        <w:t>u</w:t>
      </w:r>
      <w:r w:rsidR="00ED79BC" w:rsidRPr="00ED79BC">
        <w:rPr>
          <w:rFonts w:ascii="Liberation Serif" w:eastAsia="Lucida Sans Unicode" w:hAnsi="Liberation Serif" w:cs="Liberation Serif"/>
          <w:b/>
          <w:color w:val="000000"/>
          <w:kern w:val="2"/>
          <w:sz w:val="24"/>
          <w:szCs w:val="24"/>
        </w:rPr>
        <w:t xml:space="preserve"> nad Wisłą: </w:t>
      </w:r>
      <w:bookmarkStart w:id="2" w:name="_Hlk525893964"/>
      <w:bookmarkEnd w:id="1"/>
      <w:r w:rsidR="00ED79BC" w:rsidRPr="00ED79BC">
        <w:rPr>
          <w:rFonts w:ascii="Liberation Serif" w:eastAsia="Lucida Sans Unicode" w:hAnsi="Liberation Serif" w:cs="Liberation Serif"/>
          <w:b/>
          <w:color w:val="000000"/>
          <w:kern w:val="2"/>
          <w:sz w:val="24"/>
          <w:szCs w:val="24"/>
        </w:rPr>
        <w:t>VISTULA BANK SPÓŁDZIELCZY Nr 70 9011 0005 0260 0459 2000 0020</w:t>
      </w:r>
      <w:r>
        <w:rPr>
          <w:rFonts w:ascii="Times New Roman" w:hAnsi="Times New Roman"/>
          <w:sz w:val="24"/>
        </w:rPr>
        <w:t>.</w:t>
      </w:r>
      <w:r w:rsidR="00ED79BC">
        <w:rPr>
          <w:rFonts w:ascii="Times New Roman" w:hAnsi="Times New Roman"/>
          <w:sz w:val="24"/>
        </w:rPr>
        <w:t xml:space="preserve"> </w:t>
      </w:r>
      <w:bookmarkEnd w:id="2"/>
    </w:p>
    <w:p w14:paraId="79130BC8" w14:textId="7638CE2C" w:rsidR="00C16F8E" w:rsidRDefault="00C16F8E" w:rsidP="006D288C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C16F8E">
        <w:rPr>
          <w:rFonts w:ascii="Times New Roman" w:hAnsi="Times New Roman"/>
          <w:sz w:val="24"/>
        </w:rPr>
        <w:t>Za termin zapłaty uznaje się dzień wpływu należności na wskazane konto.</w:t>
      </w:r>
    </w:p>
    <w:p w14:paraId="6AB7F7B5" w14:textId="77777777" w:rsidR="00C16F8E" w:rsidRPr="00C16F8E" w:rsidRDefault="00C16F8E" w:rsidP="008A549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C16F8E">
        <w:rPr>
          <w:rFonts w:ascii="Times New Roman" w:hAnsi="Times New Roman"/>
          <w:sz w:val="24"/>
        </w:rPr>
        <w:t>Wpłacone wadium podlega:</w:t>
      </w:r>
    </w:p>
    <w:p w14:paraId="2EA6C4EE" w14:textId="284F85EC" w:rsidR="00C16F8E" w:rsidRPr="00C16F8E" w:rsidRDefault="00C16F8E" w:rsidP="008A549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C16F8E">
        <w:rPr>
          <w:rFonts w:ascii="Times New Roman" w:hAnsi="Times New Roman"/>
          <w:sz w:val="24"/>
        </w:rPr>
        <w:t xml:space="preserve">zaliczeniu na poczet </w:t>
      </w:r>
      <w:r w:rsidR="00B3477D">
        <w:rPr>
          <w:rFonts w:ascii="Times New Roman" w:hAnsi="Times New Roman"/>
          <w:sz w:val="24"/>
        </w:rPr>
        <w:t>ceny nabycia</w:t>
      </w:r>
      <w:r w:rsidR="00FB5899">
        <w:rPr>
          <w:rFonts w:ascii="Times New Roman" w:hAnsi="Times New Roman"/>
          <w:sz w:val="24"/>
        </w:rPr>
        <w:t xml:space="preserve"> </w:t>
      </w:r>
      <w:r w:rsidRPr="00C16F8E">
        <w:rPr>
          <w:rFonts w:ascii="Times New Roman" w:hAnsi="Times New Roman"/>
          <w:sz w:val="24"/>
        </w:rPr>
        <w:t xml:space="preserve">nieruchomości </w:t>
      </w:r>
      <w:r w:rsidR="00FB5899">
        <w:rPr>
          <w:rFonts w:ascii="Times New Roman" w:hAnsi="Times New Roman"/>
          <w:sz w:val="24"/>
        </w:rPr>
        <w:t>uczestnikowi</w:t>
      </w:r>
      <w:r w:rsidRPr="00C16F8E">
        <w:rPr>
          <w:rFonts w:ascii="Times New Roman" w:hAnsi="Times New Roman"/>
          <w:sz w:val="24"/>
        </w:rPr>
        <w:t>, który wygra przetarg,</w:t>
      </w:r>
    </w:p>
    <w:p w14:paraId="4EDDA0B2" w14:textId="77777777" w:rsidR="00C16F8E" w:rsidRPr="00C16F8E" w:rsidRDefault="00C16F8E" w:rsidP="008A549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C16F8E">
        <w:rPr>
          <w:rFonts w:ascii="Times New Roman" w:hAnsi="Times New Roman"/>
          <w:sz w:val="24"/>
        </w:rPr>
        <w:lastRenderedPageBreak/>
        <w:t>zwrotowi pozostałym uczestnikom przetargu, którzy przetargu nie wygrają, nie później jednak niż w ciągu 3 dni od jego zamknięcia,</w:t>
      </w:r>
    </w:p>
    <w:p w14:paraId="276ABC62" w14:textId="5C467644" w:rsidR="00C16F8E" w:rsidRDefault="00C16F8E" w:rsidP="008A549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C16F8E">
        <w:rPr>
          <w:rFonts w:ascii="Times New Roman" w:hAnsi="Times New Roman"/>
          <w:sz w:val="24"/>
        </w:rPr>
        <w:t xml:space="preserve">przepada, jeżeli oferent, który wygra przetarg, uchyli się od zawarcia umowy </w:t>
      </w:r>
      <w:r w:rsidR="00B3477D">
        <w:rPr>
          <w:rFonts w:ascii="Times New Roman" w:hAnsi="Times New Roman"/>
          <w:sz w:val="24"/>
        </w:rPr>
        <w:t>sprzedaży</w:t>
      </w:r>
      <w:r w:rsidR="00ED4879">
        <w:rPr>
          <w:rFonts w:ascii="Times New Roman" w:hAnsi="Times New Roman"/>
          <w:sz w:val="24"/>
        </w:rPr>
        <w:t xml:space="preserve">, </w:t>
      </w:r>
      <w:r w:rsidRPr="00C16F8E">
        <w:rPr>
          <w:rFonts w:ascii="Times New Roman" w:hAnsi="Times New Roman"/>
          <w:sz w:val="24"/>
        </w:rPr>
        <w:t>natomiast przetarg czyni się niebyłym.</w:t>
      </w:r>
    </w:p>
    <w:p w14:paraId="44C9CEC6" w14:textId="355EB695" w:rsidR="000A6756" w:rsidRDefault="00C52394" w:rsidP="00C52394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C52394">
        <w:rPr>
          <w:rFonts w:ascii="Times New Roman" w:hAnsi="Times New Roman"/>
          <w:sz w:val="24"/>
        </w:rPr>
        <w:t xml:space="preserve">Wpłata wadium jest równoznaczna z zapoznaniem się ze stanem przedmiotu przetargu jak i uwarunkowaniami planistycznymi i urbanistycznymi </w:t>
      </w:r>
      <w:r w:rsidR="00B3477D">
        <w:rPr>
          <w:rFonts w:ascii="Times New Roman" w:hAnsi="Times New Roman"/>
          <w:sz w:val="24"/>
        </w:rPr>
        <w:t>sprzedawanej</w:t>
      </w:r>
      <w:r w:rsidRPr="00C52394">
        <w:rPr>
          <w:rFonts w:ascii="Times New Roman" w:hAnsi="Times New Roman"/>
          <w:sz w:val="24"/>
        </w:rPr>
        <w:t xml:space="preserve"> nieruchomości.</w:t>
      </w:r>
    </w:p>
    <w:p w14:paraId="561F7947" w14:textId="1153FAA0" w:rsidR="00DF3235" w:rsidRPr="00C22E63" w:rsidRDefault="00AA50BC" w:rsidP="00DF323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u w:val="single"/>
        </w:rPr>
      </w:pPr>
      <w:r w:rsidRPr="00C22E63">
        <w:rPr>
          <w:rFonts w:ascii="Times New Roman" w:hAnsi="Times New Roman"/>
          <w:sz w:val="24"/>
        </w:rPr>
        <w:t>Przystępujący do przetargu zobowiązani są złożyć</w:t>
      </w:r>
      <w:r w:rsidR="006D288C" w:rsidRPr="00C22E63">
        <w:rPr>
          <w:rFonts w:ascii="Times New Roman" w:hAnsi="Times New Roman"/>
          <w:sz w:val="24"/>
        </w:rPr>
        <w:t xml:space="preserve"> pisemną</w:t>
      </w:r>
      <w:bookmarkStart w:id="3" w:name="_Hlk39045715"/>
      <w:r w:rsidR="00DF3235" w:rsidRPr="00C22E63">
        <w:rPr>
          <w:rFonts w:ascii="Times New Roman" w:eastAsia="Lucida Sans Unicode" w:hAnsi="Times New Roman" w:cs="Mangal"/>
          <w:b/>
          <w:bCs/>
          <w:kern w:val="2"/>
          <w:lang w:eastAsia="zh-CN" w:bidi="hi-IN"/>
        </w:rPr>
        <w:t xml:space="preserve"> </w:t>
      </w:r>
      <w:r w:rsidR="00DF3235" w:rsidRPr="00C22E63">
        <w:rPr>
          <w:rFonts w:ascii="Times New Roman" w:hAnsi="Times New Roman"/>
          <w:b/>
          <w:bCs/>
          <w:sz w:val="24"/>
          <w:u w:val="single"/>
        </w:rPr>
        <w:t>„OFERTĘ NA SPRZEDAŻ NIERUCHOMOŚCI GRUNTOWEJ DZIAŁKI NR 77/3 POŁOŻONĄ W MIEJSCOWOŚCI ZDZIARKA”</w:t>
      </w:r>
      <w:bookmarkEnd w:id="3"/>
      <w:r w:rsidR="00DF3235" w:rsidRPr="00C22E63">
        <w:rPr>
          <w:rFonts w:ascii="Times New Roman" w:hAnsi="Times New Roman"/>
          <w:b/>
          <w:bCs/>
          <w:sz w:val="24"/>
          <w:u w:val="single"/>
        </w:rPr>
        <w:t>, własnoręcznie podpisaną</w:t>
      </w:r>
      <w:r w:rsidR="00DF3235" w:rsidRPr="00C22E63">
        <w:rPr>
          <w:rFonts w:ascii="Times New Roman" w:hAnsi="Times New Roman"/>
          <w:b/>
          <w:bCs/>
          <w:sz w:val="24"/>
        </w:rPr>
        <w:t>.</w:t>
      </w:r>
      <w:r w:rsidR="00C22E63" w:rsidRPr="00C22E63">
        <w:rPr>
          <w:rFonts w:ascii="Times New Roman" w:hAnsi="Times New Roman"/>
          <w:b/>
          <w:bCs/>
          <w:sz w:val="24"/>
        </w:rPr>
        <w:t xml:space="preserve"> </w:t>
      </w:r>
      <w:r w:rsidR="006219F1" w:rsidRPr="00C22E63">
        <w:rPr>
          <w:rFonts w:ascii="Times New Roman" w:hAnsi="Times New Roman"/>
          <w:sz w:val="24"/>
        </w:rPr>
        <w:t xml:space="preserve">Wzór </w:t>
      </w:r>
      <w:r w:rsidR="006D288C" w:rsidRPr="00C22E63">
        <w:rPr>
          <w:rFonts w:ascii="Times New Roman" w:hAnsi="Times New Roman"/>
          <w:sz w:val="24"/>
        </w:rPr>
        <w:t xml:space="preserve">oferty </w:t>
      </w:r>
      <w:r w:rsidR="006219F1" w:rsidRPr="00C22E63">
        <w:rPr>
          <w:rFonts w:ascii="Times New Roman" w:hAnsi="Times New Roman"/>
          <w:sz w:val="24"/>
        </w:rPr>
        <w:t xml:space="preserve">stanowi </w:t>
      </w:r>
      <w:r w:rsidR="006219F1" w:rsidRPr="00C22E63">
        <w:rPr>
          <w:rFonts w:ascii="Times New Roman" w:hAnsi="Times New Roman"/>
          <w:sz w:val="24"/>
          <w:u w:val="single"/>
        </w:rPr>
        <w:t xml:space="preserve">załącznik nr </w:t>
      </w:r>
      <w:r w:rsidR="00DF4EE0" w:rsidRPr="00C22E63">
        <w:rPr>
          <w:rFonts w:ascii="Times New Roman" w:hAnsi="Times New Roman"/>
          <w:sz w:val="24"/>
          <w:u w:val="single"/>
        </w:rPr>
        <w:t>2</w:t>
      </w:r>
      <w:r w:rsidR="00DF3235" w:rsidRPr="00C22E63">
        <w:rPr>
          <w:rFonts w:ascii="Times New Roman" w:hAnsi="Times New Roman"/>
          <w:sz w:val="24"/>
          <w:u w:val="single"/>
        </w:rPr>
        <w:t>.</w:t>
      </w:r>
    </w:p>
    <w:p w14:paraId="29661341" w14:textId="518C24CB" w:rsidR="00DF3235" w:rsidRPr="00DF3235" w:rsidRDefault="00DF3235" w:rsidP="00DF3235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DF3235">
        <w:rPr>
          <w:rFonts w:ascii="Times New Roman" w:eastAsia="Lucida Sans Unicode" w:hAnsi="Times New Roman"/>
          <w:kern w:val="2"/>
          <w:sz w:val="24"/>
          <w:szCs w:val="24"/>
        </w:rPr>
        <w:t>Osoby prawne przystępujące do przetargu zobowiązane są do przedłożenia aktualnego odpisu z KRS oraz uchwałę wyrażającą zgodę na udział w przetargu i nabycie nieruchomości. W przypadku osób fizycznych prowadzących działalność gospodarczą w formie spółki cywilnej – umowę spółki, REGON spółki, uchwałę na odpłatne nabycie nieruchomości, bądź stosowne umocowanie do działania w imieniu spółki</w:t>
      </w:r>
      <w:r w:rsidR="00BF004A">
        <w:rPr>
          <w:rFonts w:ascii="Times New Roman" w:eastAsia="Lucida Sans Unicode" w:hAnsi="Times New Roman"/>
          <w:kern w:val="2"/>
          <w:sz w:val="24"/>
          <w:szCs w:val="24"/>
        </w:rPr>
        <w:t>,</w:t>
      </w:r>
      <w:r w:rsidRPr="00DF3235">
        <w:rPr>
          <w:rFonts w:ascii="Times New Roman" w:eastAsia="Lucida Sans Unicode" w:hAnsi="Times New Roman"/>
          <w:kern w:val="2"/>
          <w:sz w:val="24"/>
          <w:szCs w:val="24"/>
        </w:rPr>
        <w:t xml:space="preserve"> zezwalające na odpłatne nabycie nieruchomości. W przypadku uczestnictwa jednego z małżonków należy okazać pisemne oświadczenie współmałżonka z notarialnie poświadczonym podpisem o wyrażeniu zgody na przystąpienie małżonka do przetargu z zamiarem nabycia nieruchomości</w:t>
      </w:r>
      <w:r w:rsidR="00BF004A">
        <w:rPr>
          <w:rFonts w:ascii="Times New Roman" w:eastAsia="Lucida Sans Unicode" w:hAnsi="Times New Roman"/>
          <w:kern w:val="2"/>
          <w:sz w:val="24"/>
          <w:szCs w:val="24"/>
        </w:rPr>
        <w:t>,</w:t>
      </w:r>
      <w:r w:rsidRPr="00DF3235">
        <w:rPr>
          <w:rFonts w:ascii="Times New Roman" w:eastAsia="Lucida Sans Unicode" w:hAnsi="Times New Roman"/>
          <w:kern w:val="2"/>
          <w:sz w:val="24"/>
          <w:szCs w:val="24"/>
        </w:rPr>
        <w:t xml:space="preserve"> ze środków pochodzących z majątku wspólnego. W przypadku rozdzielności majątkowej należy okazać odpowiedni dokument. Osoby pozostające w związku małżeńskim a zamierzające nabyć nieruchomość do majątku odrębnego zobowiązane są złożyć stosowne oświadczenie.</w:t>
      </w:r>
    </w:p>
    <w:p w14:paraId="4BFD64E7" w14:textId="37675298" w:rsidR="00DF3235" w:rsidRDefault="00DF3235" w:rsidP="00DF3235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DF3235">
        <w:rPr>
          <w:rFonts w:ascii="Times New Roman" w:eastAsia="Lucida Sans Unicode" w:hAnsi="Times New Roman"/>
          <w:kern w:val="2"/>
          <w:sz w:val="24"/>
          <w:szCs w:val="24"/>
        </w:rPr>
        <w:t>Nabycie nieruchomości przez cudzoziemców może nastąpić w przypadku uzyskania zezwolenia Ministra Spraw Wewnętrznych i Administracji, jeżeli wymagają tego przepisy ustawy z dnia 24 marca 1920r. o nabywaniu nieruchomości przez cudzoziemców (Dz. U. z 2017r. poz. 2278). Nabywca zobowiązany jest do ustalenia we własnym zakresie, czy nabycie nieruchomości będące przedmiotem przetargu wymaga takiego zezwolenia.</w:t>
      </w:r>
    </w:p>
    <w:p w14:paraId="11D862BE" w14:textId="77777777" w:rsidR="00236D77" w:rsidRPr="00DF3235" w:rsidRDefault="00236D77" w:rsidP="00236D77">
      <w:pPr>
        <w:widowControl w:val="0"/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2EB12730" w14:textId="6CEA96F3" w:rsidR="00824409" w:rsidRDefault="00DF4EE0" w:rsidP="008A5496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824409" w:rsidRPr="006E3406">
        <w:rPr>
          <w:rFonts w:ascii="Times New Roman" w:hAnsi="Times New Roman"/>
          <w:b/>
          <w:sz w:val="24"/>
        </w:rPr>
        <w:t>KOMISJA PRZETARGOWA.</w:t>
      </w:r>
    </w:p>
    <w:p w14:paraId="5D3927E4" w14:textId="51180AC8" w:rsidR="00C16F8E" w:rsidRPr="00823597" w:rsidRDefault="00C16F8E" w:rsidP="008A549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C16F8E">
        <w:rPr>
          <w:rFonts w:ascii="Times New Roman" w:hAnsi="Times New Roman"/>
          <w:sz w:val="24"/>
        </w:rPr>
        <w:t xml:space="preserve">Czynności związane z przeprowadzeniem przetargu wykonuje Komisja Przetargowa </w:t>
      </w:r>
      <w:r w:rsidRPr="00823597">
        <w:rPr>
          <w:rFonts w:ascii="Times New Roman" w:hAnsi="Times New Roman"/>
          <w:sz w:val="24"/>
        </w:rPr>
        <w:t xml:space="preserve">wyznaczona przez </w:t>
      </w:r>
      <w:r w:rsidR="00DF4EE0">
        <w:rPr>
          <w:rFonts w:ascii="Times New Roman" w:hAnsi="Times New Roman"/>
          <w:sz w:val="24"/>
        </w:rPr>
        <w:t>Burmistrza Miasta i</w:t>
      </w:r>
      <w:r w:rsidR="00A85298">
        <w:rPr>
          <w:rFonts w:ascii="Times New Roman" w:hAnsi="Times New Roman"/>
          <w:sz w:val="24"/>
        </w:rPr>
        <w:t xml:space="preserve"> Gminy</w:t>
      </w:r>
      <w:r w:rsidR="00DF4EE0">
        <w:rPr>
          <w:rFonts w:ascii="Times New Roman" w:hAnsi="Times New Roman"/>
          <w:sz w:val="24"/>
        </w:rPr>
        <w:t xml:space="preserve"> </w:t>
      </w:r>
      <w:r w:rsidR="00A85298">
        <w:rPr>
          <w:rFonts w:ascii="Times New Roman" w:hAnsi="Times New Roman"/>
          <w:sz w:val="24"/>
        </w:rPr>
        <w:t>Czerwińsk nad Wisłą</w:t>
      </w:r>
      <w:r w:rsidRPr="00823597">
        <w:rPr>
          <w:rFonts w:ascii="Times New Roman" w:hAnsi="Times New Roman"/>
          <w:sz w:val="24"/>
        </w:rPr>
        <w:t>.</w:t>
      </w:r>
    </w:p>
    <w:p w14:paraId="74BC2C4B" w14:textId="77777777" w:rsidR="00C16F8E" w:rsidRPr="00823597" w:rsidRDefault="00823597" w:rsidP="008A549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823597">
        <w:rPr>
          <w:rFonts w:ascii="Times New Roman" w:hAnsi="Times New Roman"/>
          <w:sz w:val="24"/>
        </w:rPr>
        <w:t>Komisja działa na podstawie niniejszego Regulaminu Przetargu oraz obowiązujących przepisów prawa.</w:t>
      </w:r>
    </w:p>
    <w:p w14:paraId="71FC2A9C" w14:textId="77777777" w:rsidR="00823597" w:rsidRDefault="00823597" w:rsidP="008A549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823597">
        <w:rPr>
          <w:rFonts w:ascii="Times New Roman" w:hAnsi="Times New Roman"/>
          <w:sz w:val="24"/>
        </w:rPr>
        <w:t>Zasady postępowania członków Ko</w:t>
      </w:r>
      <w:r>
        <w:rPr>
          <w:rFonts w:ascii="Times New Roman" w:hAnsi="Times New Roman"/>
          <w:sz w:val="24"/>
        </w:rPr>
        <w:t>misji:</w:t>
      </w:r>
    </w:p>
    <w:p w14:paraId="71FB9C21" w14:textId="77777777" w:rsidR="00823597" w:rsidRDefault="00823597" w:rsidP="008A549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Komisja ma obowiązek traktować wszelkie materiały i informacje otrzymane w zwią</w:t>
      </w:r>
      <w:r w:rsidR="00ED4879">
        <w:rPr>
          <w:rFonts w:ascii="Times New Roman" w:hAnsi="Times New Roman"/>
          <w:sz w:val="24"/>
        </w:rPr>
        <w:t>zku z postępowaniem jako poufne.</w:t>
      </w:r>
    </w:p>
    <w:p w14:paraId="5CA188C2" w14:textId="636EEC55" w:rsidR="00823597" w:rsidRDefault="00823597" w:rsidP="008A549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Komisja ma obowiązek działać obiektywnie, wnikliwie i starannie, mając na uwadze dobro </w:t>
      </w:r>
      <w:r w:rsidR="00DF4EE0">
        <w:rPr>
          <w:rFonts w:ascii="Times New Roman" w:hAnsi="Times New Roman"/>
          <w:sz w:val="24"/>
        </w:rPr>
        <w:t xml:space="preserve">Miasta i </w:t>
      </w:r>
      <w:r>
        <w:rPr>
          <w:rFonts w:ascii="Times New Roman" w:hAnsi="Times New Roman"/>
          <w:sz w:val="24"/>
        </w:rPr>
        <w:t xml:space="preserve">Gminy </w:t>
      </w:r>
      <w:r w:rsidR="00A85298">
        <w:rPr>
          <w:rFonts w:ascii="Times New Roman" w:hAnsi="Times New Roman"/>
          <w:sz w:val="24"/>
        </w:rPr>
        <w:t>Czerwińsk nad Wisłą</w:t>
      </w:r>
      <w:r w:rsidR="00ED4879">
        <w:rPr>
          <w:rFonts w:ascii="Times New Roman" w:hAnsi="Times New Roman"/>
          <w:sz w:val="24"/>
        </w:rPr>
        <w:t>.</w:t>
      </w:r>
    </w:p>
    <w:p w14:paraId="3C087489" w14:textId="77777777" w:rsidR="00823597" w:rsidRDefault="00241982" w:rsidP="008A549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postępowaniu przetargowym członkami Komisji nie mogą być osoby, które:</w:t>
      </w:r>
    </w:p>
    <w:p w14:paraId="2B6B817D" w14:textId="086C5F82" w:rsidR="00241982" w:rsidRDefault="00241982" w:rsidP="008A549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pozostają w związku małżeńskim albo w stosunku pokrewieństwa lub powinowactwa w linii prostej, pokrewieństwa lub powinowactwa w linii bocznej do drugiego stopnia</w:t>
      </w:r>
      <w:r w:rsidR="00BF004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albo są związani z tytułu przysposobienia, opieki lub kurateli z uczestnikiem przetargu, jego zastępcą prawnym lub członkiem władz osób prawnych, uczestniczących w przetargu,</w:t>
      </w:r>
    </w:p>
    <w:p w14:paraId="56536A75" w14:textId="77777777" w:rsidR="00241982" w:rsidRDefault="00241982" w:rsidP="008A549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pozostają z uczestnikiem przetargu w takim stosunku prawnym lub faktycznym, że może to budzić uzasadnione wątpliwości, co do ich bezstronności.</w:t>
      </w:r>
    </w:p>
    <w:p w14:paraId="5927E05F" w14:textId="77777777" w:rsidR="00241982" w:rsidRDefault="008314B2" w:rsidP="008A549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członkowie Komisji podpisują stosowne oświadczenie.</w:t>
      </w:r>
    </w:p>
    <w:p w14:paraId="0ACFE1C4" w14:textId="77777777" w:rsidR="008314B2" w:rsidRDefault="008314B2" w:rsidP="008A549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przypadku stwierdzenia, że członek Komisji jest powiązany z którymkolwiek z uczestników przetargu, jest on zobowiązany bezzwłocznie złożyć rezygnację z udziału w postępowaniu przetargowym.</w:t>
      </w:r>
    </w:p>
    <w:p w14:paraId="6414D692" w14:textId="77777777" w:rsidR="008314B2" w:rsidRDefault="008314B2" w:rsidP="008A549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Komisja przed otwarciem przetargu stwierdza wniesienie wadium przez uczestnika przetargu oraz sprawdza przedłożone dokumenty.</w:t>
      </w:r>
    </w:p>
    <w:p w14:paraId="0E788BFD" w14:textId="77777777" w:rsidR="008314B2" w:rsidRPr="00241982" w:rsidRDefault="008314B2" w:rsidP="008A5496">
      <w:pPr>
        <w:pStyle w:val="Akapitzlist"/>
        <w:jc w:val="both"/>
        <w:rPr>
          <w:rFonts w:ascii="Times New Roman" w:hAnsi="Times New Roman"/>
          <w:sz w:val="24"/>
        </w:rPr>
      </w:pPr>
    </w:p>
    <w:p w14:paraId="419F206F" w14:textId="316D5E1C" w:rsidR="00824409" w:rsidRDefault="00824409" w:rsidP="008A5496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  <w:b/>
          <w:sz w:val="24"/>
        </w:rPr>
      </w:pPr>
      <w:r w:rsidRPr="006E3406">
        <w:rPr>
          <w:rFonts w:ascii="Times New Roman" w:hAnsi="Times New Roman"/>
          <w:b/>
          <w:sz w:val="24"/>
        </w:rPr>
        <w:t>PRZETARG.</w:t>
      </w:r>
    </w:p>
    <w:p w14:paraId="173CE073" w14:textId="77777777" w:rsidR="00AE1F5C" w:rsidRPr="00AE1F5C" w:rsidRDefault="00AE1F5C" w:rsidP="00AE1F5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Przetarg zostanie przeprowadzony, gdy wpłynie chociażby jedna oferta spełniająca warunki zawarte w ogłoszeniu o przetargu.</w:t>
      </w:r>
    </w:p>
    <w:p w14:paraId="3E4AD261" w14:textId="0C1BD966" w:rsidR="00AE1F5C" w:rsidRDefault="00AE1F5C" w:rsidP="00AE1F5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Przetarg składa się z części jawnej i niejawnej. Część jawna przetargu odbywa się w obecności oferentów. W części jawnej przewodniczący komisji przetargowej otwiera przetarg, przekazując oferentom</w:t>
      </w:r>
      <w:r w:rsidR="00BF004A">
        <w:rPr>
          <w:rFonts w:ascii="Times New Roman" w:hAnsi="Times New Roman"/>
          <w:sz w:val="24"/>
        </w:rPr>
        <w:t xml:space="preserve"> Informacje o</w:t>
      </w:r>
      <w:r>
        <w:rPr>
          <w:rFonts w:ascii="Times New Roman" w:hAnsi="Times New Roman"/>
          <w:sz w:val="24"/>
        </w:rPr>
        <w:t xml:space="preserve">: </w:t>
      </w:r>
    </w:p>
    <w:p w14:paraId="27E9B103" w14:textId="236FC4B8" w:rsidR="00AE1F5C" w:rsidRPr="00AE1F5C" w:rsidRDefault="00AE1F5C" w:rsidP="00AE1F5C">
      <w:pPr>
        <w:pStyle w:val="Akapitzlist"/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•</w:t>
      </w:r>
      <w:r w:rsidRPr="00AE1F5C">
        <w:rPr>
          <w:rFonts w:ascii="Times New Roman" w:hAnsi="Times New Roman"/>
          <w:sz w:val="24"/>
        </w:rPr>
        <w:tab/>
        <w:t>nieruchomości,</w:t>
      </w:r>
    </w:p>
    <w:p w14:paraId="4B389AD4" w14:textId="11DA9632" w:rsidR="00AE1F5C" w:rsidRPr="00AE1F5C" w:rsidRDefault="00AE1F5C" w:rsidP="00AE1F5C">
      <w:pPr>
        <w:pStyle w:val="Akapitzlist"/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•</w:t>
      </w:r>
      <w:r w:rsidRPr="00AE1F5C">
        <w:rPr>
          <w:rFonts w:ascii="Times New Roman" w:hAnsi="Times New Roman"/>
          <w:sz w:val="24"/>
        </w:rPr>
        <w:tab/>
      </w:r>
      <w:r w:rsidR="00BF004A">
        <w:rPr>
          <w:rFonts w:ascii="Times New Roman" w:hAnsi="Times New Roman"/>
          <w:sz w:val="24"/>
        </w:rPr>
        <w:t>o</w:t>
      </w:r>
      <w:r w:rsidRPr="00AE1F5C">
        <w:rPr>
          <w:rFonts w:ascii="Times New Roman" w:hAnsi="Times New Roman"/>
          <w:sz w:val="24"/>
        </w:rPr>
        <w:t xml:space="preserve">bciążeniach nieruchomości, </w:t>
      </w:r>
    </w:p>
    <w:p w14:paraId="58C9156E" w14:textId="422D0095" w:rsidR="00AE1F5C" w:rsidRPr="00AE1F5C" w:rsidRDefault="00AE1F5C" w:rsidP="00AE1F5C">
      <w:pPr>
        <w:pStyle w:val="Akapitzlist"/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•</w:t>
      </w:r>
      <w:r w:rsidRPr="00AE1F5C">
        <w:rPr>
          <w:rFonts w:ascii="Times New Roman" w:hAnsi="Times New Roman"/>
          <w:sz w:val="24"/>
        </w:rPr>
        <w:tab/>
      </w:r>
      <w:r w:rsidR="00BF004A">
        <w:rPr>
          <w:rFonts w:ascii="Times New Roman" w:hAnsi="Times New Roman"/>
          <w:sz w:val="24"/>
        </w:rPr>
        <w:t>s</w:t>
      </w:r>
      <w:r w:rsidRPr="00AE1F5C">
        <w:rPr>
          <w:rFonts w:ascii="Times New Roman" w:hAnsi="Times New Roman"/>
          <w:sz w:val="24"/>
        </w:rPr>
        <w:t>posobie zapłaty ceny,</w:t>
      </w:r>
    </w:p>
    <w:p w14:paraId="3547EFAF" w14:textId="5FE21EE8" w:rsidR="00AE1F5C" w:rsidRPr="00AE1F5C" w:rsidRDefault="00AE1F5C" w:rsidP="00AE1F5C">
      <w:pPr>
        <w:pStyle w:val="Akapitzlist"/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•</w:t>
      </w:r>
      <w:r w:rsidRPr="00AE1F5C">
        <w:rPr>
          <w:rFonts w:ascii="Times New Roman" w:hAnsi="Times New Roman"/>
          <w:sz w:val="24"/>
        </w:rPr>
        <w:tab/>
      </w:r>
      <w:r w:rsidR="00BF004A">
        <w:rPr>
          <w:rFonts w:ascii="Times New Roman" w:hAnsi="Times New Roman"/>
          <w:sz w:val="24"/>
        </w:rPr>
        <w:t>s</w:t>
      </w:r>
      <w:r w:rsidRPr="00AE1F5C">
        <w:rPr>
          <w:rFonts w:ascii="Times New Roman" w:hAnsi="Times New Roman"/>
          <w:sz w:val="24"/>
        </w:rPr>
        <w:t>kutkach uchylenia się od zawarcia umowy sprzedaży,</w:t>
      </w:r>
    </w:p>
    <w:p w14:paraId="21CF7209" w14:textId="2C4CD3B7" w:rsidR="00AE1F5C" w:rsidRDefault="00AE1F5C" w:rsidP="00AE1F5C">
      <w:pPr>
        <w:pStyle w:val="Akapitzlist"/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•</w:t>
      </w:r>
      <w:r w:rsidRPr="00AE1F5C">
        <w:rPr>
          <w:rFonts w:ascii="Times New Roman" w:hAnsi="Times New Roman"/>
          <w:sz w:val="24"/>
        </w:rPr>
        <w:tab/>
      </w:r>
      <w:r w:rsidR="00BF004A">
        <w:rPr>
          <w:rFonts w:ascii="Times New Roman" w:hAnsi="Times New Roman"/>
          <w:sz w:val="24"/>
        </w:rPr>
        <w:t>i</w:t>
      </w:r>
      <w:r w:rsidRPr="00AE1F5C">
        <w:rPr>
          <w:rFonts w:ascii="Times New Roman" w:hAnsi="Times New Roman"/>
          <w:sz w:val="24"/>
        </w:rPr>
        <w:t xml:space="preserve">nformacje, że </w:t>
      </w:r>
      <w:r>
        <w:rPr>
          <w:rFonts w:ascii="Times New Roman" w:hAnsi="Times New Roman"/>
          <w:sz w:val="24"/>
        </w:rPr>
        <w:t xml:space="preserve">Burmistrzowi Miasta i Gminy Czerwińsk nad Wisłą </w:t>
      </w:r>
      <w:r w:rsidRPr="00AE1F5C">
        <w:rPr>
          <w:rFonts w:ascii="Times New Roman" w:hAnsi="Times New Roman"/>
          <w:sz w:val="24"/>
        </w:rPr>
        <w:t>przysługuje prawo zamknięcia przetargu bez wyłonienia ofert.</w:t>
      </w:r>
    </w:p>
    <w:p w14:paraId="12B4DA49" w14:textId="290522F8" w:rsidR="00AE1F5C" w:rsidRPr="00AE1F5C" w:rsidRDefault="00AE1F5C" w:rsidP="00AE1F5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Komisja przetargowa podaje liczbę otrzymanych ofert, otw</w:t>
      </w:r>
      <w:r w:rsidR="00BF004A">
        <w:rPr>
          <w:rFonts w:ascii="Times New Roman" w:hAnsi="Times New Roman"/>
          <w:sz w:val="24"/>
        </w:rPr>
        <w:t>iera</w:t>
      </w:r>
      <w:r w:rsidRPr="00AE1F5C">
        <w:rPr>
          <w:rFonts w:ascii="Times New Roman" w:hAnsi="Times New Roman"/>
          <w:sz w:val="24"/>
        </w:rPr>
        <w:t xml:space="preserve"> kopert</w:t>
      </w:r>
      <w:r w:rsidR="00BF004A">
        <w:rPr>
          <w:rFonts w:ascii="Times New Roman" w:hAnsi="Times New Roman"/>
          <w:sz w:val="24"/>
        </w:rPr>
        <w:t>y</w:t>
      </w:r>
      <w:r w:rsidRPr="00AE1F5C">
        <w:rPr>
          <w:rFonts w:ascii="Times New Roman" w:hAnsi="Times New Roman"/>
          <w:sz w:val="24"/>
        </w:rPr>
        <w:t xml:space="preserve"> z ofertami, sprawdza kompletność złożonych ofert oraz tożsamość osób, które złożyły oferty. Sprawdza dowody wpłaty wadium, przyjmuje wyjaśnienia lub oświadczenia złożone przez oferentów, weryfikuje oferty, ogłasza, które oferty zakwalifikowan</w:t>
      </w:r>
      <w:r w:rsidR="00D978B5">
        <w:rPr>
          <w:rFonts w:ascii="Times New Roman" w:hAnsi="Times New Roman"/>
          <w:sz w:val="24"/>
        </w:rPr>
        <w:t>o</w:t>
      </w:r>
      <w:r w:rsidRPr="00AE1F5C">
        <w:rPr>
          <w:rFonts w:ascii="Times New Roman" w:hAnsi="Times New Roman"/>
          <w:sz w:val="24"/>
        </w:rPr>
        <w:t xml:space="preserve"> do części niejawnej przetargu.</w:t>
      </w:r>
    </w:p>
    <w:p w14:paraId="3F26E3C8" w14:textId="263BB9D4" w:rsidR="00AE1F5C" w:rsidRDefault="00AE1F5C" w:rsidP="00AE1F5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Komisja przetargowa odmawia zakwalifikowania ofert do części niejawnej przetargu jeżeli:</w:t>
      </w:r>
    </w:p>
    <w:p w14:paraId="47688E1C" w14:textId="45DB4C67" w:rsidR="00AE1F5C" w:rsidRPr="00AE1F5C" w:rsidRDefault="00AE1F5C" w:rsidP="00AE1F5C">
      <w:pPr>
        <w:pStyle w:val="Akapitzlist"/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•</w:t>
      </w:r>
      <w:r w:rsidRPr="00AE1F5C">
        <w:rPr>
          <w:rFonts w:ascii="Times New Roman" w:hAnsi="Times New Roman"/>
          <w:sz w:val="24"/>
        </w:rPr>
        <w:tab/>
      </w:r>
      <w:r w:rsidR="00D978B5">
        <w:rPr>
          <w:rFonts w:ascii="Times New Roman" w:hAnsi="Times New Roman"/>
          <w:sz w:val="24"/>
        </w:rPr>
        <w:t>n</w:t>
      </w:r>
      <w:r w:rsidRPr="00AE1F5C">
        <w:rPr>
          <w:rFonts w:ascii="Times New Roman" w:hAnsi="Times New Roman"/>
          <w:sz w:val="24"/>
        </w:rPr>
        <w:t>ie odpowiadają warunkom  przetargu</w:t>
      </w:r>
      <w:r>
        <w:rPr>
          <w:rFonts w:ascii="Times New Roman" w:hAnsi="Times New Roman"/>
          <w:sz w:val="24"/>
        </w:rPr>
        <w:t>,</w:t>
      </w:r>
    </w:p>
    <w:p w14:paraId="1120A11D" w14:textId="2840C87F" w:rsidR="00AE1F5C" w:rsidRPr="00AE1F5C" w:rsidRDefault="00AE1F5C" w:rsidP="00AE1F5C">
      <w:pPr>
        <w:pStyle w:val="Akapitzlist"/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•</w:t>
      </w:r>
      <w:r w:rsidRPr="00AE1F5C">
        <w:rPr>
          <w:rFonts w:ascii="Times New Roman" w:hAnsi="Times New Roman"/>
          <w:sz w:val="24"/>
        </w:rPr>
        <w:tab/>
        <w:t>złożon</w:t>
      </w:r>
      <w:r w:rsidR="00D978B5">
        <w:rPr>
          <w:rFonts w:ascii="Times New Roman" w:hAnsi="Times New Roman"/>
          <w:sz w:val="24"/>
        </w:rPr>
        <w:t>o je</w:t>
      </w:r>
      <w:r w:rsidRPr="00AE1F5C">
        <w:rPr>
          <w:rFonts w:ascii="Times New Roman" w:hAnsi="Times New Roman"/>
          <w:sz w:val="24"/>
        </w:rPr>
        <w:t xml:space="preserve"> po wyznaczonym terminie</w:t>
      </w:r>
      <w:r>
        <w:rPr>
          <w:rFonts w:ascii="Times New Roman" w:hAnsi="Times New Roman"/>
          <w:sz w:val="24"/>
        </w:rPr>
        <w:t>,</w:t>
      </w:r>
    </w:p>
    <w:p w14:paraId="2BD1A051" w14:textId="56563D24" w:rsidR="00AE1F5C" w:rsidRPr="00AE1F5C" w:rsidRDefault="00AE1F5C" w:rsidP="00AE1F5C">
      <w:pPr>
        <w:pStyle w:val="Akapitzlist"/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•</w:t>
      </w:r>
      <w:r w:rsidRPr="00AE1F5C">
        <w:rPr>
          <w:rFonts w:ascii="Times New Roman" w:hAnsi="Times New Roman"/>
          <w:sz w:val="24"/>
        </w:rPr>
        <w:tab/>
      </w:r>
      <w:r w:rsidR="00D978B5">
        <w:rPr>
          <w:rFonts w:ascii="Times New Roman" w:hAnsi="Times New Roman"/>
          <w:sz w:val="24"/>
        </w:rPr>
        <w:t>n</w:t>
      </w:r>
      <w:r w:rsidRPr="00AE1F5C">
        <w:rPr>
          <w:rFonts w:ascii="Times New Roman" w:hAnsi="Times New Roman"/>
          <w:sz w:val="24"/>
        </w:rPr>
        <w:t>ie zawierają danych  wymienionych w ogłoszeniu o przetargu lub dane są niekompletne</w:t>
      </w:r>
      <w:r>
        <w:rPr>
          <w:rFonts w:ascii="Times New Roman" w:hAnsi="Times New Roman"/>
          <w:sz w:val="24"/>
        </w:rPr>
        <w:t>,</w:t>
      </w:r>
    </w:p>
    <w:p w14:paraId="2400018B" w14:textId="1DAF54F3" w:rsidR="00AE1F5C" w:rsidRPr="00AE1F5C" w:rsidRDefault="00AE1F5C" w:rsidP="00AE1F5C">
      <w:pPr>
        <w:pStyle w:val="Akapitzlist"/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•</w:t>
      </w:r>
      <w:r w:rsidRPr="00AE1F5C">
        <w:rPr>
          <w:rFonts w:ascii="Times New Roman" w:hAnsi="Times New Roman"/>
          <w:sz w:val="24"/>
        </w:rPr>
        <w:tab/>
      </w:r>
      <w:r w:rsidR="00D978B5">
        <w:rPr>
          <w:rFonts w:ascii="Times New Roman" w:hAnsi="Times New Roman"/>
          <w:sz w:val="24"/>
        </w:rPr>
        <w:t>n</w:t>
      </w:r>
      <w:r w:rsidRPr="00AE1F5C">
        <w:rPr>
          <w:rFonts w:ascii="Times New Roman" w:hAnsi="Times New Roman"/>
          <w:sz w:val="24"/>
        </w:rPr>
        <w:t>ie dołączono dowodu wpłaty wadium</w:t>
      </w:r>
      <w:r>
        <w:rPr>
          <w:rFonts w:ascii="Times New Roman" w:hAnsi="Times New Roman"/>
          <w:sz w:val="24"/>
        </w:rPr>
        <w:t>,</w:t>
      </w:r>
    </w:p>
    <w:p w14:paraId="5C54BFB3" w14:textId="76A6CEF8" w:rsidR="00AE1F5C" w:rsidRPr="00AE1F5C" w:rsidRDefault="00AE1F5C" w:rsidP="00AE1F5C">
      <w:pPr>
        <w:pStyle w:val="Akapitzlist"/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•</w:t>
      </w:r>
      <w:r w:rsidRPr="00AE1F5C">
        <w:rPr>
          <w:rFonts w:ascii="Times New Roman" w:hAnsi="Times New Roman"/>
          <w:sz w:val="24"/>
        </w:rPr>
        <w:tab/>
      </w:r>
      <w:r w:rsidR="00D978B5">
        <w:rPr>
          <w:rFonts w:ascii="Times New Roman" w:hAnsi="Times New Roman"/>
          <w:sz w:val="24"/>
        </w:rPr>
        <w:t>s</w:t>
      </w:r>
      <w:r w:rsidRPr="00AE1F5C">
        <w:rPr>
          <w:rFonts w:ascii="Times New Roman" w:hAnsi="Times New Roman"/>
          <w:sz w:val="24"/>
        </w:rPr>
        <w:t>ą nieczytelne lub budzą wątpliwości</w:t>
      </w:r>
      <w:r w:rsidR="00D978B5">
        <w:rPr>
          <w:rFonts w:ascii="Times New Roman" w:hAnsi="Times New Roman"/>
          <w:sz w:val="24"/>
        </w:rPr>
        <w:t>,</w:t>
      </w:r>
      <w:r w:rsidRPr="00AE1F5C">
        <w:rPr>
          <w:rFonts w:ascii="Times New Roman" w:hAnsi="Times New Roman"/>
          <w:sz w:val="24"/>
        </w:rPr>
        <w:t xml:space="preserve"> co do ich treści.</w:t>
      </w:r>
    </w:p>
    <w:p w14:paraId="3CE23A92" w14:textId="06C9B3C4" w:rsidR="00AE1F5C" w:rsidRPr="00AE1F5C" w:rsidRDefault="00AE1F5C" w:rsidP="00AE1F5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 xml:space="preserve">Komisja przetargowa umożliwia oferentowi poprawienie w ofercie oczywistych błędów. </w:t>
      </w:r>
    </w:p>
    <w:p w14:paraId="3372AC99" w14:textId="77777777" w:rsidR="00AE1F5C" w:rsidRPr="00AE1F5C" w:rsidRDefault="00AE1F5C" w:rsidP="00AE1F5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Przy wyborze oferty komisja przetargowa bierze pod uwagę zaoferowaną cenę.</w:t>
      </w:r>
    </w:p>
    <w:p w14:paraId="515431AA" w14:textId="091DF23F" w:rsidR="00AE1F5C" w:rsidRPr="00AE1F5C" w:rsidRDefault="00AE1F5C" w:rsidP="00AE1F5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W części niejawnej przetargu komisja przetargowa szczegółow</w:t>
      </w:r>
      <w:r w:rsidR="00D978B5">
        <w:rPr>
          <w:rFonts w:ascii="Times New Roman" w:hAnsi="Times New Roman"/>
          <w:sz w:val="24"/>
        </w:rPr>
        <w:t>o</w:t>
      </w:r>
      <w:r w:rsidRPr="00AE1F5C">
        <w:rPr>
          <w:rFonts w:ascii="Times New Roman" w:hAnsi="Times New Roman"/>
          <w:sz w:val="24"/>
        </w:rPr>
        <w:t xml:space="preserve"> analiz</w:t>
      </w:r>
      <w:r w:rsidR="00D978B5">
        <w:rPr>
          <w:rFonts w:ascii="Times New Roman" w:hAnsi="Times New Roman"/>
          <w:sz w:val="24"/>
        </w:rPr>
        <w:t>uje</w:t>
      </w:r>
      <w:r w:rsidRPr="00AE1F5C">
        <w:rPr>
          <w:rFonts w:ascii="Times New Roman" w:hAnsi="Times New Roman"/>
          <w:sz w:val="24"/>
        </w:rPr>
        <w:t xml:space="preserve"> ofert</w:t>
      </w:r>
      <w:r w:rsidR="00D978B5">
        <w:rPr>
          <w:rFonts w:ascii="Times New Roman" w:hAnsi="Times New Roman"/>
          <w:sz w:val="24"/>
        </w:rPr>
        <w:t>y</w:t>
      </w:r>
      <w:r w:rsidRPr="00AE1F5C">
        <w:rPr>
          <w:rFonts w:ascii="Times New Roman" w:hAnsi="Times New Roman"/>
          <w:sz w:val="24"/>
        </w:rPr>
        <w:t>, wybiera najkorzystniejszą z nich lub stwierdza, że nie wybiera żadnej ze złożonych ofert. W przypadku złożenia równorzędnych ofert</w:t>
      </w:r>
      <w:r w:rsidR="00D978B5">
        <w:rPr>
          <w:rFonts w:ascii="Times New Roman" w:hAnsi="Times New Roman"/>
          <w:sz w:val="24"/>
        </w:rPr>
        <w:t>,</w:t>
      </w:r>
      <w:r w:rsidRPr="00AE1F5C">
        <w:rPr>
          <w:rFonts w:ascii="Times New Roman" w:hAnsi="Times New Roman"/>
          <w:sz w:val="24"/>
        </w:rPr>
        <w:t xml:space="preserve"> komisja przetargowa organizuje dodatkowy przetarg ustny ograniczony d</w:t>
      </w:r>
      <w:r w:rsidR="00D978B5">
        <w:rPr>
          <w:rFonts w:ascii="Times New Roman" w:hAnsi="Times New Roman"/>
          <w:sz w:val="24"/>
        </w:rPr>
        <w:t>la</w:t>
      </w:r>
      <w:r w:rsidRPr="00AE1F5C">
        <w:rPr>
          <w:rFonts w:ascii="Times New Roman" w:hAnsi="Times New Roman"/>
          <w:sz w:val="24"/>
        </w:rPr>
        <w:t xml:space="preserve"> oferentów, którzy złożyli te oferty</w:t>
      </w:r>
      <w:r>
        <w:rPr>
          <w:rFonts w:ascii="Times New Roman" w:hAnsi="Times New Roman"/>
          <w:sz w:val="24"/>
        </w:rPr>
        <w:t>.</w:t>
      </w:r>
    </w:p>
    <w:p w14:paraId="2602168F" w14:textId="5CE31D7F" w:rsidR="00AE1F5C" w:rsidRPr="00AE1F5C" w:rsidRDefault="00AE1F5C" w:rsidP="00AE1F5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W dodatkowym przetargu ustnym ograniczonym oferenci zgłaszają ustnie kolejne postąpienia ceny powyżej najwyższej</w:t>
      </w:r>
      <w:r w:rsidR="00D978B5">
        <w:rPr>
          <w:rFonts w:ascii="Times New Roman" w:hAnsi="Times New Roman"/>
          <w:sz w:val="24"/>
        </w:rPr>
        <w:t>,</w:t>
      </w:r>
      <w:r w:rsidRPr="00AE1F5C">
        <w:rPr>
          <w:rFonts w:ascii="Times New Roman" w:hAnsi="Times New Roman"/>
          <w:sz w:val="24"/>
        </w:rPr>
        <w:t xml:space="preserve"> zamieszczonej w równorzędnych ofertach, dopóki mimo trzykrotnego wywołania nie ma dalszych postąpień.</w:t>
      </w:r>
    </w:p>
    <w:p w14:paraId="39283096" w14:textId="4E7E6DEE" w:rsidR="00AE1F5C" w:rsidRPr="00AE1F5C" w:rsidRDefault="00AE1F5C" w:rsidP="00AE1F5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 xml:space="preserve"> Z przeprowadzonego przetargu sporządz</w:t>
      </w:r>
      <w:r w:rsidR="00D978B5">
        <w:rPr>
          <w:rFonts w:ascii="Times New Roman" w:hAnsi="Times New Roman"/>
          <w:sz w:val="24"/>
        </w:rPr>
        <w:t>a się</w:t>
      </w:r>
      <w:r w:rsidRPr="00AE1F5C">
        <w:rPr>
          <w:rFonts w:ascii="Times New Roman" w:hAnsi="Times New Roman"/>
          <w:sz w:val="24"/>
        </w:rPr>
        <w:t xml:space="preserve"> protokół</w:t>
      </w:r>
      <w:r w:rsidR="00F345F5">
        <w:rPr>
          <w:rFonts w:ascii="Times New Roman" w:hAnsi="Times New Roman"/>
          <w:sz w:val="24"/>
        </w:rPr>
        <w:t>.</w:t>
      </w:r>
      <w:r w:rsidRPr="00AE1F5C">
        <w:rPr>
          <w:rFonts w:ascii="Times New Roman" w:hAnsi="Times New Roman"/>
          <w:sz w:val="24"/>
        </w:rPr>
        <w:t xml:space="preserve"> </w:t>
      </w:r>
    </w:p>
    <w:p w14:paraId="10896545" w14:textId="2C26C4F2" w:rsidR="00FC2997" w:rsidRDefault="00AE1F5C" w:rsidP="00F345F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lastRenderedPageBreak/>
        <w:t xml:space="preserve"> Przetarg uważa się za zamknięty z chwilą podpisania protokołu.</w:t>
      </w:r>
    </w:p>
    <w:p w14:paraId="665E3C2C" w14:textId="0D0619E7" w:rsidR="00A80B2B" w:rsidRDefault="00A80B2B" w:rsidP="00A80B2B">
      <w:pPr>
        <w:pStyle w:val="Akapitzlist"/>
        <w:jc w:val="both"/>
        <w:rPr>
          <w:rFonts w:ascii="Times New Roman" w:hAnsi="Times New Roman"/>
          <w:sz w:val="24"/>
        </w:rPr>
      </w:pPr>
    </w:p>
    <w:p w14:paraId="01FEBCD2" w14:textId="77777777" w:rsidR="00824409" w:rsidRPr="00AE1F5C" w:rsidRDefault="00824409" w:rsidP="008A5496">
      <w:pPr>
        <w:pStyle w:val="Akapitzlist"/>
        <w:numPr>
          <w:ilvl w:val="0"/>
          <w:numId w:val="1"/>
        </w:numPr>
        <w:tabs>
          <w:tab w:val="left" w:pos="851"/>
        </w:tabs>
        <w:ind w:left="709" w:hanging="349"/>
        <w:jc w:val="both"/>
        <w:rPr>
          <w:rFonts w:ascii="Times New Roman" w:hAnsi="Times New Roman"/>
          <w:b/>
          <w:sz w:val="24"/>
        </w:rPr>
      </w:pPr>
      <w:r w:rsidRPr="00AE1F5C">
        <w:rPr>
          <w:rFonts w:ascii="Times New Roman" w:hAnsi="Times New Roman"/>
          <w:b/>
          <w:sz w:val="24"/>
        </w:rPr>
        <w:t>PROTOKÓŁ Z PRZETARGU.</w:t>
      </w:r>
    </w:p>
    <w:p w14:paraId="249E72F9" w14:textId="7D1AC177" w:rsidR="00FC2997" w:rsidRPr="00AE1F5C" w:rsidRDefault="00FC2997" w:rsidP="008A5496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Protokół z przeprowadzonego przetargu zawiera w szczególności informacje</w:t>
      </w:r>
      <w:r w:rsidR="00D978B5">
        <w:rPr>
          <w:rFonts w:ascii="Times New Roman" w:hAnsi="Times New Roman"/>
          <w:sz w:val="24"/>
        </w:rPr>
        <w:t xml:space="preserve"> o</w:t>
      </w:r>
      <w:r w:rsidRPr="00AE1F5C">
        <w:rPr>
          <w:rFonts w:ascii="Times New Roman" w:hAnsi="Times New Roman"/>
          <w:sz w:val="24"/>
        </w:rPr>
        <w:t>:</w:t>
      </w:r>
    </w:p>
    <w:p w14:paraId="6DAD7427" w14:textId="1469FA72" w:rsidR="00B70309" w:rsidRPr="00AE1F5C" w:rsidRDefault="00B70309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termin</w:t>
      </w:r>
      <w:r w:rsidR="00D978B5">
        <w:rPr>
          <w:rFonts w:ascii="Times New Roman" w:hAnsi="Times New Roman"/>
          <w:sz w:val="24"/>
        </w:rPr>
        <w:t>ie</w:t>
      </w:r>
      <w:r w:rsidRPr="00AE1F5C">
        <w:rPr>
          <w:rFonts w:ascii="Times New Roman" w:hAnsi="Times New Roman"/>
          <w:sz w:val="24"/>
        </w:rPr>
        <w:t>, miejsc</w:t>
      </w:r>
      <w:r w:rsidR="00D978B5">
        <w:rPr>
          <w:rFonts w:ascii="Times New Roman" w:hAnsi="Times New Roman"/>
          <w:sz w:val="24"/>
        </w:rPr>
        <w:t>u</w:t>
      </w:r>
      <w:r w:rsidRPr="00AE1F5C">
        <w:rPr>
          <w:rFonts w:ascii="Times New Roman" w:hAnsi="Times New Roman"/>
          <w:sz w:val="24"/>
        </w:rPr>
        <w:t xml:space="preserve"> i rodzaj</w:t>
      </w:r>
      <w:r w:rsidR="00D978B5">
        <w:rPr>
          <w:rFonts w:ascii="Times New Roman" w:hAnsi="Times New Roman"/>
          <w:sz w:val="24"/>
        </w:rPr>
        <w:t>u</w:t>
      </w:r>
      <w:r w:rsidRPr="00AE1F5C">
        <w:rPr>
          <w:rFonts w:ascii="Times New Roman" w:hAnsi="Times New Roman"/>
          <w:sz w:val="24"/>
        </w:rPr>
        <w:t xml:space="preserve"> przetargu,</w:t>
      </w:r>
    </w:p>
    <w:p w14:paraId="324DE7C4" w14:textId="39A4FD58" w:rsidR="00B70309" w:rsidRPr="00AE1F5C" w:rsidRDefault="00B70309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oznaczeni</w:t>
      </w:r>
      <w:r w:rsidR="00D978B5">
        <w:rPr>
          <w:rFonts w:ascii="Times New Roman" w:hAnsi="Times New Roman"/>
          <w:sz w:val="24"/>
        </w:rPr>
        <w:t>u</w:t>
      </w:r>
      <w:r w:rsidRPr="00AE1F5C">
        <w:rPr>
          <w:rFonts w:ascii="Times New Roman" w:hAnsi="Times New Roman"/>
          <w:sz w:val="24"/>
        </w:rPr>
        <w:t xml:space="preserve"> nieruchomości będącej przedmiotem przetargu</w:t>
      </w:r>
      <w:r w:rsidR="00D978B5">
        <w:rPr>
          <w:rFonts w:ascii="Times New Roman" w:hAnsi="Times New Roman"/>
          <w:sz w:val="24"/>
        </w:rPr>
        <w:t>,</w:t>
      </w:r>
      <w:r w:rsidRPr="00AE1F5C">
        <w:rPr>
          <w:rFonts w:ascii="Times New Roman" w:hAnsi="Times New Roman"/>
          <w:sz w:val="24"/>
        </w:rPr>
        <w:t xml:space="preserve"> według ewidencji gruntów i księgi wieczystej,</w:t>
      </w:r>
    </w:p>
    <w:p w14:paraId="71C11DBF" w14:textId="26FFAD37" w:rsidR="00B70309" w:rsidRPr="00AE1F5C" w:rsidRDefault="00B70309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obciążenia</w:t>
      </w:r>
      <w:r w:rsidR="00D978B5">
        <w:rPr>
          <w:rFonts w:ascii="Times New Roman" w:hAnsi="Times New Roman"/>
          <w:sz w:val="24"/>
        </w:rPr>
        <w:t>ch</w:t>
      </w:r>
      <w:r w:rsidRPr="00AE1F5C">
        <w:rPr>
          <w:rFonts w:ascii="Times New Roman" w:hAnsi="Times New Roman"/>
          <w:sz w:val="24"/>
        </w:rPr>
        <w:t xml:space="preserve"> nieruchomości,</w:t>
      </w:r>
    </w:p>
    <w:p w14:paraId="189F1689" w14:textId="05C35078" w:rsidR="00B70309" w:rsidRPr="00AE1F5C" w:rsidRDefault="00B70309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zobowiązania</w:t>
      </w:r>
      <w:r w:rsidR="00D978B5">
        <w:rPr>
          <w:rFonts w:ascii="Times New Roman" w:hAnsi="Times New Roman"/>
          <w:sz w:val="24"/>
        </w:rPr>
        <w:t>ch</w:t>
      </w:r>
      <w:r w:rsidRPr="00AE1F5C">
        <w:rPr>
          <w:rFonts w:ascii="Times New Roman" w:hAnsi="Times New Roman"/>
          <w:sz w:val="24"/>
        </w:rPr>
        <w:t>, których przedmiotem jest nieruchomość,</w:t>
      </w:r>
    </w:p>
    <w:p w14:paraId="2A3039D9" w14:textId="1BC5A07F" w:rsidR="00B70309" w:rsidRPr="00AE1F5C" w:rsidRDefault="00B70309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wyjaśnienia</w:t>
      </w:r>
      <w:r w:rsidR="00D978B5">
        <w:rPr>
          <w:rFonts w:ascii="Times New Roman" w:hAnsi="Times New Roman"/>
          <w:sz w:val="24"/>
        </w:rPr>
        <w:t>ch</w:t>
      </w:r>
      <w:r w:rsidRPr="00AE1F5C">
        <w:rPr>
          <w:rFonts w:ascii="Times New Roman" w:hAnsi="Times New Roman"/>
          <w:sz w:val="24"/>
        </w:rPr>
        <w:t xml:space="preserve"> i oświadczenia</w:t>
      </w:r>
      <w:r w:rsidR="00D978B5">
        <w:rPr>
          <w:rFonts w:ascii="Times New Roman" w:hAnsi="Times New Roman"/>
          <w:sz w:val="24"/>
        </w:rPr>
        <w:t>ch</w:t>
      </w:r>
      <w:r w:rsidRPr="00AE1F5C">
        <w:rPr>
          <w:rFonts w:ascii="Times New Roman" w:hAnsi="Times New Roman"/>
          <w:sz w:val="24"/>
        </w:rPr>
        <w:t xml:space="preserve"> złożon</w:t>
      </w:r>
      <w:r w:rsidR="00D978B5">
        <w:rPr>
          <w:rFonts w:ascii="Times New Roman" w:hAnsi="Times New Roman"/>
          <w:sz w:val="24"/>
        </w:rPr>
        <w:t>ych</w:t>
      </w:r>
      <w:r w:rsidRPr="00AE1F5C">
        <w:rPr>
          <w:rFonts w:ascii="Times New Roman" w:hAnsi="Times New Roman"/>
          <w:sz w:val="24"/>
        </w:rPr>
        <w:t xml:space="preserve"> przez uczestników przetargu,</w:t>
      </w:r>
    </w:p>
    <w:p w14:paraId="1727F687" w14:textId="2BD49A1D" w:rsidR="00B70309" w:rsidRPr="00AE1F5C" w:rsidRDefault="00B70309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osob</w:t>
      </w:r>
      <w:r w:rsidR="00D978B5">
        <w:rPr>
          <w:rFonts w:ascii="Times New Roman" w:hAnsi="Times New Roman"/>
          <w:sz w:val="24"/>
        </w:rPr>
        <w:t>ach</w:t>
      </w:r>
      <w:r w:rsidRPr="00AE1F5C">
        <w:rPr>
          <w:rFonts w:ascii="Times New Roman" w:hAnsi="Times New Roman"/>
          <w:sz w:val="24"/>
        </w:rPr>
        <w:t xml:space="preserve"> dopuszczon</w:t>
      </w:r>
      <w:r w:rsidR="00D978B5">
        <w:rPr>
          <w:rFonts w:ascii="Times New Roman" w:hAnsi="Times New Roman"/>
          <w:sz w:val="24"/>
        </w:rPr>
        <w:t>ych</w:t>
      </w:r>
      <w:r w:rsidRPr="00AE1F5C">
        <w:rPr>
          <w:rFonts w:ascii="Times New Roman" w:hAnsi="Times New Roman"/>
          <w:sz w:val="24"/>
        </w:rPr>
        <w:t xml:space="preserve"> i niedopuszczon</w:t>
      </w:r>
      <w:r w:rsidR="00D978B5">
        <w:rPr>
          <w:rFonts w:ascii="Times New Roman" w:hAnsi="Times New Roman"/>
          <w:sz w:val="24"/>
        </w:rPr>
        <w:t>ych</w:t>
      </w:r>
      <w:r w:rsidRPr="00AE1F5C">
        <w:rPr>
          <w:rFonts w:ascii="Times New Roman" w:hAnsi="Times New Roman"/>
          <w:sz w:val="24"/>
        </w:rPr>
        <w:t xml:space="preserve"> do przetargu wraz z uzasadnieniem,</w:t>
      </w:r>
    </w:p>
    <w:p w14:paraId="73295176" w14:textId="58478D7E" w:rsidR="00B70309" w:rsidRPr="00AE1F5C" w:rsidRDefault="00B70309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cen</w:t>
      </w:r>
      <w:r w:rsidR="00D978B5">
        <w:rPr>
          <w:rFonts w:ascii="Times New Roman" w:hAnsi="Times New Roman"/>
          <w:sz w:val="24"/>
        </w:rPr>
        <w:t>nie</w:t>
      </w:r>
      <w:r w:rsidRPr="00AE1F5C">
        <w:rPr>
          <w:rFonts w:ascii="Times New Roman" w:hAnsi="Times New Roman"/>
          <w:sz w:val="24"/>
        </w:rPr>
        <w:t xml:space="preserve"> wywoławcz</w:t>
      </w:r>
      <w:r w:rsidR="00D978B5">
        <w:rPr>
          <w:rFonts w:ascii="Times New Roman" w:hAnsi="Times New Roman"/>
          <w:sz w:val="24"/>
        </w:rPr>
        <w:t>ej</w:t>
      </w:r>
      <w:r w:rsidRPr="00AE1F5C">
        <w:rPr>
          <w:rFonts w:ascii="Times New Roman" w:hAnsi="Times New Roman"/>
          <w:sz w:val="24"/>
        </w:rPr>
        <w:t xml:space="preserve"> nieruchomości i najwyższ</w:t>
      </w:r>
      <w:r w:rsidR="00D978B5">
        <w:rPr>
          <w:rFonts w:ascii="Times New Roman" w:hAnsi="Times New Roman"/>
          <w:sz w:val="24"/>
        </w:rPr>
        <w:t>ej</w:t>
      </w:r>
      <w:r w:rsidRPr="00AE1F5C">
        <w:rPr>
          <w:rFonts w:ascii="Times New Roman" w:hAnsi="Times New Roman"/>
          <w:sz w:val="24"/>
        </w:rPr>
        <w:t xml:space="preserve"> cen</w:t>
      </w:r>
      <w:r w:rsidR="00D978B5">
        <w:rPr>
          <w:rFonts w:ascii="Times New Roman" w:hAnsi="Times New Roman"/>
          <w:sz w:val="24"/>
        </w:rPr>
        <w:t>nie</w:t>
      </w:r>
      <w:r w:rsidRPr="00AE1F5C">
        <w:rPr>
          <w:rFonts w:ascii="Times New Roman" w:hAnsi="Times New Roman"/>
          <w:sz w:val="24"/>
        </w:rPr>
        <w:t xml:space="preserve"> osiągnięt</w:t>
      </w:r>
      <w:r w:rsidR="00D978B5">
        <w:rPr>
          <w:rFonts w:ascii="Times New Roman" w:hAnsi="Times New Roman"/>
          <w:sz w:val="24"/>
        </w:rPr>
        <w:t>ej</w:t>
      </w:r>
      <w:r w:rsidRPr="00AE1F5C">
        <w:rPr>
          <w:rFonts w:ascii="Times New Roman" w:hAnsi="Times New Roman"/>
          <w:sz w:val="24"/>
        </w:rPr>
        <w:t xml:space="preserve"> w przetargu,</w:t>
      </w:r>
    </w:p>
    <w:p w14:paraId="13271375" w14:textId="07F7D71C" w:rsidR="00B70309" w:rsidRPr="00AE1F5C" w:rsidRDefault="00B70309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rozstrzygnięcia</w:t>
      </w:r>
      <w:r w:rsidR="00D978B5">
        <w:rPr>
          <w:rFonts w:ascii="Times New Roman" w:hAnsi="Times New Roman"/>
          <w:sz w:val="24"/>
        </w:rPr>
        <w:t>ch</w:t>
      </w:r>
      <w:r w:rsidRPr="00AE1F5C">
        <w:rPr>
          <w:rFonts w:ascii="Times New Roman" w:hAnsi="Times New Roman"/>
          <w:sz w:val="24"/>
        </w:rPr>
        <w:t xml:space="preserve"> podjęt</w:t>
      </w:r>
      <w:r w:rsidR="00D978B5">
        <w:rPr>
          <w:rFonts w:ascii="Times New Roman" w:hAnsi="Times New Roman"/>
          <w:sz w:val="24"/>
        </w:rPr>
        <w:t>ych</w:t>
      </w:r>
      <w:r w:rsidRPr="00AE1F5C">
        <w:rPr>
          <w:rFonts w:ascii="Times New Roman" w:hAnsi="Times New Roman"/>
          <w:sz w:val="24"/>
        </w:rPr>
        <w:t xml:space="preserve"> przez Komisję wraz z uzasadnieniem,</w:t>
      </w:r>
    </w:p>
    <w:p w14:paraId="5D221F15" w14:textId="5D8AFAA7" w:rsidR="00B70309" w:rsidRPr="00AE1F5C" w:rsidRDefault="00D978B5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zawiera </w:t>
      </w:r>
      <w:r w:rsidR="00B70309" w:rsidRPr="00AE1F5C">
        <w:rPr>
          <w:rFonts w:ascii="Times New Roman" w:hAnsi="Times New Roman"/>
          <w:sz w:val="24"/>
        </w:rPr>
        <w:t>imię, nazwisko i adres lub nazwę firm</w:t>
      </w:r>
      <w:r>
        <w:rPr>
          <w:rFonts w:ascii="Times New Roman" w:hAnsi="Times New Roman"/>
          <w:sz w:val="24"/>
        </w:rPr>
        <w:t>y</w:t>
      </w:r>
      <w:r w:rsidR="00B70309" w:rsidRPr="00AE1F5C">
        <w:rPr>
          <w:rFonts w:ascii="Times New Roman" w:hAnsi="Times New Roman"/>
          <w:sz w:val="24"/>
        </w:rPr>
        <w:t xml:space="preserve"> oraz siedzibę osoby ustalonej jako </w:t>
      </w:r>
      <w:r w:rsidR="00236D77">
        <w:rPr>
          <w:rFonts w:ascii="Times New Roman" w:hAnsi="Times New Roman"/>
          <w:sz w:val="24"/>
        </w:rPr>
        <w:t>kupujący</w:t>
      </w:r>
      <w:r w:rsidR="00B70309" w:rsidRPr="00AE1F5C">
        <w:rPr>
          <w:rFonts w:ascii="Times New Roman" w:hAnsi="Times New Roman"/>
          <w:sz w:val="24"/>
        </w:rPr>
        <w:t>,</w:t>
      </w:r>
    </w:p>
    <w:p w14:paraId="010F4F96" w14:textId="4869F50B" w:rsidR="00B70309" w:rsidRPr="00AE1F5C" w:rsidRDefault="00D978B5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zawiera </w:t>
      </w:r>
      <w:r w:rsidR="00B70309" w:rsidRPr="00AE1F5C">
        <w:rPr>
          <w:rFonts w:ascii="Times New Roman" w:hAnsi="Times New Roman"/>
          <w:sz w:val="24"/>
        </w:rPr>
        <w:t>imiona i nazwiska Przewodniczącego oraz członków Komisji,</w:t>
      </w:r>
    </w:p>
    <w:p w14:paraId="436CD0A2" w14:textId="77777777" w:rsidR="00B70309" w:rsidRPr="00AE1F5C" w:rsidRDefault="00B70309" w:rsidP="008A549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datę i miejsce sporządzenia protokołu.</w:t>
      </w:r>
    </w:p>
    <w:p w14:paraId="408CB7F6" w14:textId="2292FE1E" w:rsidR="00B70309" w:rsidRPr="00AE1F5C" w:rsidRDefault="00B70309" w:rsidP="008A5496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 xml:space="preserve">Protokół sporządza się w trzech jednobrzmiących egzemplarzach, z których dwa przeznaczone są dla organizatora przetargu, a jeden dla </w:t>
      </w:r>
      <w:r w:rsidR="00AE1F5C" w:rsidRPr="00AE1F5C">
        <w:rPr>
          <w:rFonts w:ascii="Times New Roman" w:hAnsi="Times New Roman"/>
          <w:sz w:val="24"/>
        </w:rPr>
        <w:t>dzierżawcy</w:t>
      </w:r>
      <w:r w:rsidRPr="00AE1F5C">
        <w:rPr>
          <w:rFonts w:ascii="Times New Roman" w:hAnsi="Times New Roman"/>
          <w:sz w:val="24"/>
        </w:rPr>
        <w:t xml:space="preserve"> nieruchomości.</w:t>
      </w:r>
    </w:p>
    <w:p w14:paraId="717A26E4" w14:textId="16B7C4A3" w:rsidR="00B70309" w:rsidRPr="00AE1F5C" w:rsidRDefault="00B70309" w:rsidP="008A5496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Protokół z przeprowadzonego przetargu podpisują</w:t>
      </w:r>
      <w:r w:rsidR="00462C2E">
        <w:rPr>
          <w:rFonts w:ascii="Times New Roman" w:hAnsi="Times New Roman"/>
          <w:sz w:val="24"/>
        </w:rPr>
        <w:t>:</w:t>
      </w:r>
      <w:r w:rsidRPr="00AE1F5C">
        <w:rPr>
          <w:rFonts w:ascii="Times New Roman" w:hAnsi="Times New Roman"/>
          <w:sz w:val="24"/>
        </w:rPr>
        <w:t xml:space="preserve"> Przewodniczący i członkowie Komisji oraz osoba wyłoniona w przetargu jako </w:t>
      </w:r>
      <w:r w:rsidR="00236D77">
        <w:rPr>
          <w:rFonts w:ascii="Times New Roman" w:hAnsi="Times New Roman"/>
          <w:sz w:val="24"/>
        </w:rPr>
        <w:t>nabywca</w:t>
      </w:r>
      <w:r w:rsidRPr="00AE1F5C">
        <w:rPr>
          <w:rFonts w:ascii="Times New Roman" w:hAnsi="Times New Roman"/>
          <w:sz w:val="24"/>
        </w:rPr>
        <w:t xml:space="preserve"> nieruchomości.</w:t>
      </w:r>
    </w:p>
    <w:p w14:paraId="7632E073" w14:textId="77777777" w:rsidR="00B70309" w:rsidRPr="00AE1F5C" w:rsidRDefault="00B70309" w:rsidP="008A5496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AE1F5C">
        <w:rPr>
          <w:rFonts w:ascii="Times New Roman" w:hAnsi="Times New Roman"/>
          <w:sz w:val="24"/>
        </w:rPr>
        <w:t>Protokół z przeprowadzonego przetargu stanowi podstawę do zawarci</w:t>
      </w:r>
      <w:r w:rsidR="00440CC1" w:rsidRPr="00AE1F5C">
        <w:rPr>
          <w:rFonts w:ascii="Times New Roman" w:hAnsi="Times New Roman"/>
          <w:sz w:val="24"/>
        </w:rPr>
        <w:t>a umowy sprzedaży nieruchomości</w:t>
      </w:r>
      <w:r w:rsidRPr="00AE1F5C">
        <w:rPr>
          <w:rFonts w:ascii="Times New Roman" w:hAnsi="Times New Roman"/>
          <w:sz w:val="24"/>
        </w:rPr>
        <w:t xml:space="preserve">, będącej przedmiotem przetargu. </w:t>
      </w:r>
    </w:p>
    <w:p w14:paraId="70782FF6" w14:textId="77777777" w:rsidR="00824409" w:rsidRPr="00F345F5" w:rsidRDefault="00824409" w:rsidP="008A5496">
      <w:pPr>
        <w:pStyle w:val="Akapitzlist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b/>
          <w:sz w:val="24"/>
        </w:rPr>
      </w:pPr>
      <w:r w:rsidRPr="00F345F5">
        <w:rPr>
          <w:rFonts w:ascii="Times New Roman" w:hAnsi="Times New Roman"/>
          <w:b/>
          <w:sz w:val="24"/>
        </w:rPr>
        <w:t>ZAWARCIE UMOWY.</w:t>
      </w:r>
    </w:p>
    <w:p w14:paraId="4DD4E003" w14:textId="2575DA50" w:rsidR="00B70309" w:rsidRDefault="00B70309" w:rsidP="00884A48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</w:rPr>
      </w:pPr>
      <w:r w:rsidRPr="00F345F5">
        <w:rPr>
          <w:rFonts w:ascii="Times New Roman" w:hAnsi="Times New Roman"/>
          <w:sz w:val="24"/>
        </w:rPr>
        <w:t xml:space="preserve">W terminie </w:t>
      </w:r>
      <w:r w:rsidR="002311D9" w:rsidRPr="00F345F5">
        <w:rPr>
          <w:rFonts w:ascii="Times New Roman" w:hAnsi="Times New Roman"/>
          <w:sz w:val="24"/>
          <w:u w:val="single"/>
        </w:rPr>
        <w:t>14</w:t>
      </w:r>
      <w:r w:rsidRPr="00F345F5">
        <w:rPr>
          <w:rFonts w:ascii="Times New Roman" w:hAnsi="Times New Roman"/>
          <w:sz w:val="24"/>
          <w:u w:val="single"/>
        </w:rPr>
        <w:t xml:space="preserve"> dni</w:t>
      </w:r>
      <w:r w:rsidRPr="00F345F5">
        <w:rPr>
          <w:rFonts w:ascii="Times New Roman" w:hAnsi="Times New Roman"/>
          <w:sz w:val="24"/>
        </w:rPr>
        <w:t xml:space="preserve"> od dnia rozstrzygnięcia przeta</w:t>
      </w:r>
      <w:r w:rsidR="00884A48" w:rsidRPr="00F345F5">
        <w:rPr>
          <w:rFonts w:ascii="Times New Roman" w:hAnsi="Times New Roman"/>
          <w:sz w:val="24"/>
        </w:rPr>
        <w:t xml:space="preserve">rgu, osoba ustalona jako </w:t>
      </w:r>
      <w:r w:rsidR="00236D77">
        <w:rPr>
          <w:rFonts w:ascii="Times New Roman" w:hAnsi="Times New Roman"/>
          <w:sz w:val="24"/>
        </w:rPr>
        <w:t>nabywca</w:t>
      </w:r>
      <w:r w:rsidRPr="00F345F5">
        <w:rPr>
          <w:rFonts w:ascii="Times New Roman" w:hAnsi="Times New Roman"/>
          <w:sz w:val="24"/>
        </w:rPr>
        <w:t xml:space="preserve"> nieruchomości, zostanie zawiadomiona pisemnie o miejscu i terminie zawarcia umowy </w:t>
      </w:r>
      <w:r w:rsidR="00236D77">
        <w:rPr>
          <w:rFonts w:ascii="Times New Roman" w:hAnsi="Times New Roman"/>
          <w:sz w:val="24"/>
        </w:rPr>
        <w:t>sprzedaży</w:t>
      </w:r>
      <w:r w:rsidRPr="00F345F5">
        <w:rPr>
          <w:rFonts w:ascii="Times New Roman" w:hAnsi="Times New Roman"/>
          <w:sz w:val="24"/>
        </w:rPr>
        <w:t>.</w:t>
      </w:r>
      <w:r w:rsidRPr="00F345F5">
        <w:rPr>
          <w:rFonts w:ascii="Times New Roman" w:hAnsi="Times New Roman"/>
          <w:b/>
          <w:sz w:val="24"/>
        </w:rPr>
        <w:t xml:space="preserve"> </w:t>
      </w:r>
      <w:r w:rsidR="006F2BEA" w:rsidRPr="00F345F5">
        <w:rPr>
          <w:rFonts w:ascii="Times New Roman" w:hAnsi="Times New Roman"/>
          <w:b/>
          <w:sz w:val="24"/>
        </w:rPr>
        <w:tab/>
        <w:t xml:space="preserve"> </w:t>
      </w:r>
      <w:r w:rsidRPr="00F345F5">
        <w:rPr>
          <w:rFonts w:ascii="Times New Roman" w:hAnsi="Times New Roman"/>
          <w:sz w:val="24"/>
        </w:rPr>
        <w:t xml:space="preserve">Wyznaczony termin nie może być krótszy niż </w:t>
      </w:r>
      <w:r w:rsidRPr="00F345F5">
        <w:rPr>
          <w:rFonts w:ascii="Times New Roman" w:hAnsi="Times New Roman"/>
          <w:sz w:val="24"/>
          <w:u w:val="single"/>
        </w:rPr>
        <w:t>7 dni</w:t>
      </w:r>
      <w:r w:rsidRPr="00F345F5">
        <w:rPr>
          <w:rFonts w:ascii="Times New Roman" w:hAnsi="Times New Roman"/>
          <w:sz w:val="24"/>
        </w:rPr>
        <w:t xml:space="preserve"> od daty doręczenia zawiadomienia.</w:t>
      </w:r>
    </w:p>
    <w:p w14:paraId="657A3473" w14:textId="77777777" w:rsidR="00236D77" w:rsidRPr="00236D77" w:rsidRDefault="00236D77" w:rsidP="00236D77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</w:rPr>
      </w:pPr>
      <w:r w:rsidRPr="00236D77">
        <w:rPr>
          <w:rFonts w:ascii="Times New Roman" w:hAnsi="Times New Roman"/>
          <w:sz w:val="24"/>
        </w:rPr>
        <w:t>Zapłata wylicytowanej kwoty za nabytą nieruchomość winna nastąpić najpóźniej 2 dni przed zawarciem umowy notarialnej, której termin ustali sprzedawca. Za termin zapłaty ceny uznaje się dzień wpływu należności na wskazane konto.</w:t>
      </w:r>
    </w:p>
    <w:p w14:paraId="1C3B1D96" w14:textId="5666875E" w:rsidR="00236D77" w:rsidRPr="00236D77" w:rsidRDefault="00236D77" w:rsidP="00236D77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</w:rPr>
      </w:pPr>
      <w:r w:rsidRPr="00236D77">
        <w:rPr>
          <w:rFonts w:ascii="Times New Roman" w:hAnsi="Times New Roman"/>
          <w:sz w:val="24"/>
        </w:rPr>
        <w:t>Opłaty: notarialne, sądowe, skarbowe związane z nabyciem nieruchomości, obciążają Nabywcę.</w:t>
      </w:r>
    </w:p>
    <w:p w14:paraId="7AA29F70" w14:textId="20598842" w:rsidR="00440CC1" w:rsidRPr="00F345F5" w:rsidRDefault="00440CC1" w:rsidP="008A5496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b/>
          <w:sz w:val="24"/>
        </w:rPr>
      </w:pPr>
      <w:r w:rsidRPr="00F345F5">
        <w:rPr>
          <w:rFonts w:ascii="Times New Roman" w:hAnsi="Times New Roman"/>
          <w:sz w:val="24"/>
        </w:rPr>
        <w:t xml:space="preserve">Jeżeli osoba ustalona jako </w:t>
      </w:r>
      <w:r w:rsidR="00236D77">
        <w:rPr>
          <w:rFonts w:ascii="Times New Roman" w:hAnsi="Times New Roman"/>
          <w:sz w:val="24"/>
        </w:rPr>
        <w:t xml:space="preserve">nabywca </w:t>
      </w:r>
      <w:r w:rsidRPr="00F345F5">
        <w:rPr>
          <w:rFonts w:ascii="Times New Roman" w:hAnsi="Times New Roman"/>
          <w:sz w:val="24"/>
        </w:rPr>
        <w:t>nieruchomości nie przystąpi bez usprawiedliwienia do zawarcia umowy w miejscu i terminie podany</w:t>
      </w:r>
      <w:r w:rsidR="000A6756" w:rsidRPr="00F345F5">
        <w:rPr>
          <w:rFonts w:ascii="Times New Roman" w:hAnsi="Times New Roman"/>
          <w:sz w:val="24"/>
        </w:rPr>
        <w:t>m</w:t>
      </w:r>
      <w:r w:rsidRPr="00F345F5">
        <w:rPr>
          <w:rFonts w:ascii="Times New Roman" w:hAnsi="Times New Roman"/>
          <w:sz w:val="24"/>
        </w:rPr>
        <w:t xml:space="preserve"> w zawiadomieniu, </w:t>
      </w:r>
      <w:r w:rsidR="00F345F5" w:rsidRPr="00F345F5">
        <w:rPr>
          <w:rFonts w:ascii="Times New Roman" w:hAnsi="Times New Roman"/>
          <w:sz w:val="24"/>
        </w:rPr>
        <w:t>Burmistrz Miasta i</w:t>
      </w:r>
      <w:r w:rsidR="000A6756" w:rsidRPr="00F345F5">
        <w:rPr>
          <w:rFonts w:ascii="Times New Roman" w:hAnsi="Times New Roman"/>
          <w:sz w:val="24"/>
        </w:rPr>
        <w:t xml:space="preserve"> Gminy Czerwińsk nad Wisłą</w:t>
      </w:r>
      <w:r w:rsidRPr="00F345F5">
        <w:rPr>
          <w:rFonts w:ascii="Times New Roman" w:hAnsi="Times New Roman"/>
          <w:sz w:val="24"/>
        </w:rPr>
        <w:t xml:space="preserve"> może odstąpić od zawarcia umowy, a wniesione wadium nie podlega zwrotowi.</w:t>
      </w:r>
    </w:p>
    <w:p w14:paraId="30FBE77E" w14:textId="77777777" w:rsidR="00824409" w:rsidRPr="00F345F5" w:rsidRDefault="0016178F" w:rsidP="008A5496">
      <w:pPr>
        <w:pStyle w:val="Akapitzlist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709" w:hanging="349"/>
        <w:jc w:val="both"/>
        <w:rPr>
          <w:rFonts w:ascii="Times New Roman" w:hAnsi="Times New Roman"/>
          <w:b/>
          <w:sz w:val="24"/>
        </w:rPr>
      </w:pPr>
      <w:r w:rsidRPr="00F345F5">
        <w:rPr>
          <w:rFonts w:ascii="Times New Roman" w:hAnsi="Times New Roman"/>
          <w:b/>
          <w:sz w:val="24"/>
        </w:rPr>
        <w:t xml:space="preserve"> </w:t>
      </w:r>
      <w:r w:rsidR="00E67452" w:rsidRPr="00F345F5">
        <w:rPr>
          <w:rFonts w:ascii="Times New Roman" w:hAnsi="Times New Roman"/>
          <w:b/>
          <w:sz w:val="24"/>
        </w:rPr>
        <w:t>POSTANOWIENIA KOŃCOWE.</w:t>
      </w:r>
    </w:p>
    <w:p w14:paraId="4AECA45D" w14:textId="257F988D" w:rsidR="00440CC1" w:rsidRPr="00F345F5" w:rsidRDefault="00F345F5" w:rsidP="008A5496">
      <w:pPr>
        <w:pStyle w:val="Akapitzlist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</w:rPr>
      </w:pPr>
      <w:bookmarkStart w:id="4" w:name="_Hlk525894198"/>
      <w:r w:rsidRPr="00F345F5">
        <w:rPr>
          <w:rFonts w:ascii="Times New Roman" w:hAnsi="Times New Roman"/>
          <w:sz w:val="24"/>
        </w:rPr>
        <w:t>Burmistrz Miasta i</w:t>
      </w:r>
      <w:r w:rsidR="000A6756" w:rsidRPr="00F345F5">
        <w:rPr>
          <w:rFonts w:ascii="Times New Roman" w:hAnsi="Times New Roman"/>
          <w:sz w:val="24"/>
        </w:rPr>
        <w:t xml:space="preserve"> Gminy Czerwińsk nad Wisłą</w:t>
      </w:r>
      <w:bookmarkEnd w:id="4"/>
      <w:r w:rsidR="00440CC1" w:rsidRPr="00F345F5">
        <w:rPr>
          <w:rFonts w:ascii="Times New Roman" w:hAnsi="Times New Roman"/>
          <w:sz w:val="24"/>
        </w:rPr>
        <w:t xml:space="preserve"> może odwołać ogłoszony przetarg lub zmienić jego termin jedynie z ważnych powodów, informując o tym niezwłocznie w formie właściwej dla ogłoszenia o przetargu i podając przyczynę odwołania przetargu.</w:t>
      </w:r>
    </w:p>
    <w:p w14:paraId="736A6A95" w14:textId="5C31C147" w:rsidR="00440CC1" w:rsidRPr="00F345F5" w:rsidRDefault="00440CC1" w:rsidP="008A5496">
      <w:pPr>
        <w:pStyle w:val="Akapitzlist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</w:rPr>
      </w:pPr>
      <w:r w:rsidRPr="00F345F5">
        <w:rPr>
          <w:rFonts w:ascii="Times New Roman" w:hAnsi="Times New Roman"/>
          <w:sz w:val="24"/>
        </w:rPr>
        <w:t xml:space="preserve">Uczestnik przetargu może zaskarżyć czynności związane z przeprowadzeniem przetargu do </w:t>
      </w:r>
      <w:r w:rsidR="00F345F5" w:rsidRPr="00F345F5">
        <w:rPr>
          <w:rFonts w:ascii="Times New Roman" w:hAnsi="Times New Roman"/>
          <w:sz w:val="24"/>
        </w:rPr>
        <w:t>Burmistrza Miasta i</w:t>
      </w:r>
      <w:r w:rsidR="000A6756" w:rsidRPr="00F345F5">
        <w:rPr>
          <w:rFonts w:ascii="Times New Roman" w:hAnsi="Times New Roman"/>
          <w:sz w:val="24"/>
        </w:rPr>
        <w:t xml:space="preserve"> Gminy Czerwińsk nad Wisłą</w:t>
      </w:r>
      <w:r w:rsidRPr="00F345F5">
        <w:rPr>
          <w:rFonts w:ascii="Times New Roman" w:hAnsi="Times New Roman"/>
          <w:sz w:val="24"/>
        </w:rPr>
        <w:t>.</w:t>
      </w:r>
    </w:p>
    <w:p w14:paraId="5487DE6C" w14:textId="77777777" w:rsidR="00440CC1" w:rsidRPr="00F345F5" w:rsidRDefault="00440CC1" w:rsidP="008A5496">
      <w:pPr>
        <w:pStyle w:val="Akapitzlist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</w:rPr>
      </w:pPr>
      <w:r w:rsidRPr="00F345F5">
        <w:rPr>
          <w:rFonts w:ascii="Times New Roman" w:hAnsi="Times New Roman"/>
          <w:sz w:val="24"/>
        </w:rPr>
        <w:t>Skargę wnosi się w terminie 7 dni od dnia ogłoszenia o wyniku przetargu.</w:t>
      </w:r>
    </w:p>
    <w:p w14:paraId="7B6CBEA8" w14:textId="683A3979" w:rsidR="00440CC1" w:rsidRDefault="00F345F5" w:rsidP="008A5496">
      <w:pPr>
        <w:pStyle w:val="Akapitzlist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</w:rPr>
      </w:pPr>
      <w:r w:rsidRPr="00F345F5">
        <w:rPr>
          <w:rFonts w:ascii="Times New Roman" w:hAnsi="Times New Roman"/>
          <w:sz w:val="24"/>
        </w:rPr>
        <w:lastRenderedPageBreak/>
        <w:t>Burmistrz Miasta i</w:t>
      </w:r>
      <w:r w:rsidR="000A6756" w:rsidRPr="00F345F5">
        <w:rPr>
          <w:rFonts w:ascii="Times New Roman" w:hAnsi="Times New Roman"/>
          <w:sz w:val="24"/>
        </w:rPr>
        <w:t xml:space="preserve"> Gminy Czerwińsk nad Wisłą rozpatruje skargę w terminie 7 dni od daty jej otrzymania i może uznać skargę za zasadną i nakazać</w:t>
      </w:r>
      <w:r w:rsidR="00440CC1" w:rsidRPr="00F345F5">
        <w:rPr>
          <w:rFonts w:ascii="Times New Roman" w:hAnsi="Times New Roman"/>
          <w:sz w:val="24"/>
        </w:rPr>
        <w:t xml:space="preserve"> powtórzenie czynności przetargowych lub unieważnić przetarg </w:t>
      </w:r>
      <w:r w:rsidR="000A6756" w:rsidRPr="00F345F5">
        <w:rPr>
          <w:rFonts w:ascii="Times New Roman" w:hAnsi="Times New Roman"/>
          <w:sz w:val="24"/>
        </w:rPr>
        <w:t>albo</w:t>
      </w:r>
      <w:r w:rsidR="00440CC1" w:rsidRPr="00F345F5">
        <w:rPr>
          <w:rFonts w:ascii="Times New Roman" w:hAnsi="Times New Roman"/>
          <w:sz w:val="24"/>
        </w:rPr>
        <w:t xml:space="preserve"> uznać skargę za nieuzasadnioną.</w:t>
      </w:r>
    </w:p>
    <w:p w14:paraId="009D1978" w14:textId="7D207B68" w:rsidR="00236D77" w:rsidRPr="00F345F5" w:rsidRDefault="00236D77" w:rsidP="00236D77">
      <w:pPr>
        <w:pStyle w:val="Akapitzlist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</w:rPr>
      </w:pPr>
      <w:r w:rsidRPr="00236D77">
        <w:rPr>
          <w:rFonts w:ascii="Times New Roman" w:hAnsi="Times New Roman"/>
          <w:sz w:val="24"/>
        </w:rPr>
        <w:t xml:space="preserve">Informacja o wynikach przetargu </w:t>
      </w:r>
      <w:r w:rsidR="00462C2E">
        <w:rPr>
          <w:rFonts w:ascii="Times New Roman" w:hAnsi="Times New Roman"/>
          <w:sz w:val="24"/>
        </w:rPr>
        <w:t xml:space="preserve">podaje się </w:t>
      </w:r>
      <w:r w:rsidRPr="00236D77">
        <w:rPr>
          <w:rFonts w:ascii="Times New Roman" w:hAnsi="Times New Roman"/>
          <w:sz w:val="24"/>
        </w:rPr>
        <w:t>do publicznej wiadomości.</w:t>
      </w:r>
    </w:p>
    <w:p w14:paraId="1167BCEA" w14:textId="77777777" w:rsidR="00F345F5" w:rsidRPr="00F345F5" w:rsidRDefault="00F345F5" w:rsidP="00F345F5">
      <w:pPr>
        <w:tabs>
          <w:tab w:val="left" w:pos="709"/>
          <w:tab w:val="left" w:pos="851"/>
          <w:tab w:val="left" w:pos="993"/>
        </w:tabs>
        <w:ind w:left="360"/>
        <w:jc w:val="both"/>
        <w:rPr>
          <w:rFonts w:ascii="Times New Roman" w:hAnsi="Times New Roman"/>
          <w:sz w:val="24"/>
        </w:rPr>
      </w:pPr>
      <w:r w:rsidRPr="00F345F5">
        <w:rPr>
          <w:rFonts w:ascii="Times New Roman" w:hAnsi="Times New Roman"/>
          <w:sz w:val="24"/>
        </w:rPr>
        <w:t>Oświadczam, że zapoznałem/zapoznałam się z warunkami przetargu i nie wnoszę zastrzeżeń</w:t>
      </w:r>
    </w:p>
    <w:p w14:paraId="1696B94F" w14:textId="77777777" w:rsidR="00F345F5" w:rsidRPr="00F345F5" w:rsidRDefault="00F345F5" w:rsidP="00F345F5">
      <w:pPr>
        <w:tabs>
          <w:tab w:val="left" w:pos="709"/>
          <w:tab w:val="left" w:pos="851"/>
          <w:tab w:val="left" w:pos="993"/>
        </w:tabs>
        <w:ind w:left="360"/>
        <w:jc w:val="both"/>
        <w:rPr>
          <w:rFonts w:ascii="Times New Roman" w:hAnsi="Times New Roman"/>
          <w:sz w:val="24"/>
        </w:rPr>
      </w:pPr>
    </w:p>
    <w:p w14:paraId="6C28A4EC" w14:textId="2B1F5E6C" w:rsidR="00F345F5" w:rsidRDefault="00F345F5" w:rsidP="00F345F5">
      <w:pPr>
        <w:tabs>
          <w:tab w:val="left" w:pos="709"/>
          <w:tab w:val="left" w:pos="851"/>
          <w:tab w:val="left" w:pos="993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Czerwińsk nad Wisłą, </w:t>
      </w:r>
      <w:r w:rsidRPr="00F345F5">
        <w:rPr>
          <w:rFonts w:ascii="Times New Roman" w:hAnsi="Times New Roman"/>
          <w:sz w:val="24"/>
        </w:rPr>
        <w:t>dni</w:t>
      </w:r>
      <w:r>
        <w:rPr>
          <w:rFonts w:ascii="Times New Roman" w:hAnsi="Times New Roman"/>
          <w:sz w:val="24"/>
        </w:rPr>
        <w:t>a ……….</w:t>
      </w:r>
      <w:r w:rsidRPr="00F345F5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20 </w:t>
      </w:r>
      <w:r w:rsidRPr="00F345F5">
        <w:rPr>
          <w:rFonts w:ascii="Times New Roman" w:hAnsi="Times New Roman"/>
          <w:sz w:val="24"/>
        </w:rPr>
        <w:t xml:space="preserve">r.      </w:t>
      </w:r>
    </w:p>
    <w:p w14:paraId="2F4FC46C" w14:textId="27D687E8" w:rsidR="00F345F5" w:rsidRPr="00F345F5" w:rsidRDefault="00F345F5" w:rsidP="00F345F5">
      <w:pPr>
        <w:tabs>
          <w:tab w:val="left" w:pos="709"/>
          <w:tab w:val="left" w:pos="851"/>
          <w:tab w:val="left" w:pos="993"/>
        </w:tabs>
        <w:spacing w:after="0" w:line="240" w:lineRule="auto"/>
        <w:ind w:left="357"/>
        <w:jc w:val="right"/>
        <w:rPr>
          <w:rFonts w:ascii="Times New Roman" w:hAnsi="Times New Roman"/>
          <w:sz w:val="24"/>
        </w:rPr>
      </w:pPr>
      <w:r w:rsidRPr="00F345F5">
        <w:rPr>
          <w:rFonts w:ascii="Times New Roman" w:hAnsi="Times New Roman"/>
          <w:sz w:val="24"/>
        </w:rPr>
        <w:t xml:space="preserve">           ………………………………………………………</w:t>
      </w:r>
    </w:p>
    <w:p w14:paraId="12CE1334" w14:textId="096E1B7F" w:rsidR="00824409" w:rsidRPr="00515E62" w:rsidRDefault="00F345F5" w:rsidP="00236D77">
      <w:pPr>
        <w:tabs>
          <w:tab w:val="left" w:pos="709"/>
          <w:tab w:val="left" w:pos="851"/>
          <w:tab w:val="left" w:pos="993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</w:rPr>
      </w:pPr>
      <w:r w:rsidRPr="00F345F5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(Czytelny podpis)    </w:t>
      </w:r>
    </w:p>
    <w:sectPr w:rsidR="00824409" w:rsidRPr="00515E62" w:rsidSect="008F23EB">
      <w:headerReference w:type="default" r:id="rId8"/>
      <w:footerReference w:type="default" r:id="rId9"/>
      <w:pgSz w:w="11906" w:h="16838"/>
      <w:pgMar w:top="709" w:right="720" w:bottom="34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DF91F" w14:textId="77777777" w:rsidR="0069462D" w:rsidRDefault="0069462D" w:rsidP="00442E58">
      <w:pPr>
        <w:spacing w:after="0" w:line="240" w:lineRule="auto"/>
      </w:pPr>
      <w:r>
        <w:separator/>
      </w:r>
    </w:p>
  </w:endnote>
  <w:endnote w:type="continuationSeparator" w:id="0">
    <w:p w14:paraId="136D4A83" w14:textId="77777777" w:rsidR="0069462D" w:rsidRDefault="0069462D" w:rsidP="0044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1050B" w14:textId="77777777" w:rsidR="00442E58" w:rsidRPr="008F23EB" w:rsidRDefault="00442E58">
    <w:pPr>
      <w:pStyle w:val="Stopka"/>
      <w:jc w:val="right"/>
      <w:rPr>
        <w:rFonts w:ascii="Times New Roman" w:hAnsi="Times New Roman"/>
        <w:sz w:val="20"/>
        <w:szCs w:val="20"/>
      </w:rPr>
    </w:pPr>
    <w:r w:rsidRPr="008F23EB">
      <w:rPr>
        <w:rFonts w:ascii="Times New Roman" w:hAnsi="Times New Roman"/>
        <w:sz w:val="20"/>
        <w:szCs w:val="20"/>
      </w:rPr>
      <w:t xml:space="preserve">Strona </w:t>
    </w:r>
    <w:r w:rsidRPr="008F23EB">
      <w:rPr>
        <w:rFonts w:ascii="Times New Roman" w:hAnsi="Times New Roman"/>
        <w:b/>
        <w:bCs/>
        <w:sz w:val="20"/>
        <w:szCs w:val="20"/>
      </w:rPr>
      <w:fldChar w:fldCharType="begin"/>
    </w:r>
    <w:r w:rsidRPr="008F23EB">
      <w:rPr>
        <w:rFonts w:ascii="Times New Roman" w:hAnsi="Times New Roman"/>
        <w:b/>
        <w:bCs/>
        <w:sz w:val="20"/>
        <w:szCs w:val="20"/>
      </w:rPr>
      <w:instrText>PAGE</w:instrText>
    </w:r>
    <w:r w:rsidRPr="008F23EB">
      <w:rPr>
        <w:rFonts w:ascii="Times New Roman" w:hAnsi="Times New Roman"/>
        <w:b/>
        <w:bCs/>
        <w:sz w:val="20"/>
        <w:szCs w:val="20"/>
      </w:rPr>
      <w:fldChar w:fldCharType="separate"/>
    </w:r>
    <w:r w:rsidR="00866704">
      <w:rPr>
        <w:rFonts w:ascii="Times New Roman" w:hAnsi="Times New Roman"/>
        <w:b/>
        <w:bCs/>
        <w:noProof/>
        <w:sz w:val="20"/>
        <w:szCs w:val="20"/>
      </w:rPr>
      <w:t>4</w:t>
    </w:r>
    <w:r w:rsidRPr="008F23EB">
      <w:rPr>
        <w:rFonts w:ascii="Times New Roman" w:hAnsi="Times New Roman"/>
        <w:b/>
        <w:bCs/>
        <w:sz w:val="20"/>
        <w:szCs w:val="20"/>
      </w:rPr>
      <w:fldChar w:fldCharType="end"/>
    </w:r>
    <w:r w:rsidRPr="008F23EB">
      <w:rPr>
        <w:rFonts w:ascii="Times New Roman" w:hAnsi="Times New Roman"/>
        <w:sz w:val="20"/>
        <w:szCs w:val="20"/>
      </w:rPr>
      <w:t xml:space="preserve"> z </w:t>
    </w:r>
    <w:r w:rsidRPr="008F23EB">
      <w:rPr>
        <w:rFonts w:ascii="Times New Roman" w:hAnsi="Times New Roman"/>
        <w:b/>
        <w:bCs/>
        <w:sz w:val="20"/>
        <w:szCs w:val="20"/>
      </w:rPr>
      <w:fldChar w:fldCharType="begin"/>
    </w:r>
    <w:r w:rsidRPr="008F23EB">
      <w:rPr>
        <w:rFonts w:ascii="Times New Roman" w:hAnsi="Times New Roman"/>
        <w:b/>
        <w:bCs/>
        <w:sz w:val="20"/>
        <w:szCs w:val="20"/>
      </w:rPr>
      <w:instrText>NUMPAGES</w:instrText>
    </w:r>
    <w:r w:rsidRPr="008F23EB">
      <w:rPr>
        <w:rFonts w:ascii="Times New Roman" w:hAnsi="Times New Roman"/>
        <w:b/>
        <w:bCs/>
        <w:sz w:val="20"/>
        <w:szCs w:val="20"/>
      </w:rPr>
      <w:fldChar w:fldCharType="separate"/>
    </w:r>
    <w:r w:rsidR="00866704">
      <w:rPr>
        <w:rFonts w:ascii="Times New Roman" w:hAnsi="Times New Roman"/>
        <w:b/>
        <w:bCs/>
        <w:noProof/>
        <w:sz w:val="20"/>
        <w:szCs w:val="20"/>
      </w:rPr>
      <w:t>4</w:t>
    </w:r>
    <w:r w:rsidRPr="008F23EB">
      <w:rPr>
        <w:rFonts w:ascii="Times New Roman" w:hAnsi="Times New Roman"/>
        <w:b/>
        <w:bCs/>
        <w:sz w:val="20"/>
        <w:szCs w:val="20"/>
      </w:rPr>
      <w:fldChar w:fldCharType="end"/>
    </w:r>
  </w:p>
  <w:p w14:paraId="649B2DEB" w14:textId="77777777" w:rsidR="00442E58" w:rsidRDefault="008F23EB" w:rsidP="008F23EB">
    <w:pPr>
      <w:pStyle w:val="Stopka"/>
      <w:tabs>
        <w:tab w:val="clear" w:pos="4536"/>
        <w:tab w:val="clear" w:pos="9072"/>
        <w:tab w:val="left" w:pos="8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B3822" w14:textId="77777777" w:rsidR="0069462D" w:rsidRDefault="0069462D" w:rsidP="00442E58">
      <w:pPr>
        <w:spacing w:after="0" w:line="240" w:lineRule="auto"/>
      </w:pPr>
      <w:r>
        <w:separator/>
      </w:r>
    </w:p>
  </w:footnote>
  <w:footnote w:type="continuationSeparator" w:id="0">
    <w:p w14:paraId="04042268" w14:textId="77777777" w:rsidR="0069462D" w:rsidRDefault="0069462D" w:rsidP="0044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1E28" w14:textId="77777777" w:rsidR="00DF3235" w:rsidRPr="006D288C" w:rsidRDefault="00DF3235" w:rsidP="00DF3235">
    <w:pPr>
      <w:pStyle w:val="Tytu"/>
      <w:jc w:val="right"/>
      <w:rPr>
        <w:rFonts w:ascii="Times New Roman" w:hAnsi="Times New Roman"/>
        <w:bCs/>
        <w:color w:val="auto"/>
        <w:sz w:val="24"/>
        <w:szCs w:val="24"/>
      </w:rPr>
    </w:pPr>
    <w:r>
      <w:rPr>
        <w:rFonts w:ascii="Times New Roman" w:hAnsi="Times New Roman"/>
        <w:bCs/>
        <w:color w:val="auto"/>
        <w:sz w:val="24"/>
        <w:szCs w:val="24"/>
      </w:rPr>
      <w:t>Z</w:t>
    </w:r>
    <w:r w:rsidRPr="006D288C">
      <w:rPr>
        <w:rFonts w:ascii="Times New Roman" w:hAnsi="Times New Roman"/>
        <w:bCs/>
        <w:color w:val="auto"/>
        <w:sz w:val="24"/>
        <w:szCs w:val="24"/>
      </w:rPr>
      <w:t xml:space="preserve">ałącznik nr 1 </w:t>
    </w:r>
  </w:p>
  <w:p w14:paraId="2BC20A88" w14:textId="77777777" w:rsidR="005D6138" w:rsidRDefault="005D6138" w:rsidP="005D6138">
    <w:pPr>
      <w:spacing w:after="0"/>
      <w:jc w:val="center"/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</w:pPr>
    <w:r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  <w:t xml:space="preserve">REGULAMIN PRZETARGU PISEMNEGO NIEOGRANICZONEGO NA </w:t>
    </w:r>
    <w:r w:rsidRPr="005D6138"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  <w:t xml:space="preserve">SPRZEDAŻ PRAWA WŁASNOŚCI ZABUDOWANEJ NIERUCHOMOŚCI GRUNTOWEJ </w:t>
    </w:r>
  </w:p>
  <w:p w14:paraId="3C52F983" w14:textId="0619EDBC" w:rsidR="005D6138" w:rsidRPr="005D6138" w:rsidRDefault="005D6138" w:rsidP="005D6138">
    <w:pPr>
      <w:spacing w:after="0"/>
      <w:jc w:val="center"/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</w:pPr>
    <w:r w:rsidRPr="005D6138">
      <w:rPr>
        <w:rFonts w:ascii="Liberation Serif" w:eastAsia="Lucida Sans Unicode" w:hAnsi="Liberation Serif" w:cs="Liberation Serif"/>
        <w:b/>
        <w:bCs/>
        <w:color w:val="000000"/>
        <w:kern w:val="2"/>
        <w:sz w:val="26"/>
        <w:szCs w:val="26"/>
        <w:u w:val="single"/>
      </w:rPr>
      <w:t>- DZIAŁKI NR 77/3 POŁOŻONEJ W MIEJSCOWOŚCI ZDZIARKA</w:t>
    </w:r>
  </w:p>
  <w:p w14:paraId="6579523A" w14:textId="09DBECD1" w:rsidR="00DF3235" w:rsidRPr="005D6138" w:rsidRDefault="00DF3235" w:rsidP="005D6138">
    <w:pPr>
      <w:pStyle w:val="Tytu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1301"/>
    <w:multiLevelType w:val="hybridMultilevel"/>
    <w:tmpl w:val="979815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3100B"/>
    <w:multiLevelType w:val="hybridMultilevel"/>
    <w:tmpl w:val="6FE4EE10"/>
    <w:lvl w:ilvl="0" w:tplc="21088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3890"/>
    <w:multiLevelType w:val="hybridMultilevel"/>
    <w:tmpl w:val="47DAF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F26CE"/>
    <w:multiLevelType w:val="hybridMultilevel"/>
    <w:tmpl w:val="71DEBF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07991"/>
    <w:multiLevelType w:val="hybridMultilevel"/>
    <w:tmpl w:val="02CE1A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66428A"/>
    <w:multiLevelType w:val="hybridMultilevel"/>
    <w:tmpl w:val="2798644A"/>
    <w:lvl w:ilvl="0" w:tplc="00D66B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41D16"/>
    <w:multiLevelType w:val="hybridMultilevel"/>
    <w:tmpl w:val="67BAC05A"/>
    <w:lvl w:ilvl="0" w:tplc="5BB6D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4D5A8D"/>
    <w:multiLevelType w:val="hybridMultilevel"/>
    <w:tmpl w:val="6ABE79A6"/>
    <w:lvl w:ilvl="0" w:tplc="9B442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B3CFE"/>
    <w:multiLevelType w:val="hybridMultilevel"/>
    <w:tmpl w:val="52B42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76908"/>
    <w:multiLevelType w:val="hybridMultilevel"/>
    <w:tmpl w:val="304A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24CAC"/>
    <w:multiLevelType w:val="hybridMultilevel"/>
    <w:tmpl w:val="BD0E70EE"/>
    <w:lvl w:ilvl="0" w:tplc="F5484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C19BB"/>
    <w:multiLevelType w:val="hybridMultilevel"/>
    <w:tmpl w:val="4B72D120"/>
    <w:lvl w:ilvl="0" w:tplc="34E49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906CA"/>
    <w:multiLevelType w:val="hybridMultilevel"/>
    <w:tmpl w:val="F8CE8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6300A"/>
    <w:multiLevelType w:val="hybridMultilevel"/>
    <w:tmpl w:val="19D8B3BA"/>
    <w:lvl w:ilvl="0" w:tplc="75D29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39E4"/>
    <w:multiLevelType w:val="hybridMultilevel"/>
    <w:tmpl w:val="3544FE66"/>
    <w:lvl w:ilvl="0" w:tplc="387A0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8542B"/>
    <w:multiLevelType w:val="hybridMultilevel"/>
    <w:tmpl w:val="544C3A8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4D318F6"/>
    <w:multiLevelType w:val="hybridMultilevel"/>
    <w:tmpl w:val="7E12E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4768"/>
    <w:multiLevelType w:val="hybridMultilevel"/>
    <w:tmpl w:val="3B2691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23C0B8E"/>
    <w:multiLevelType w:val="hybridMultilevel"/>
    <w:tmpl w:val="47DAF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74341D"/>
    <w:multiLevelType w:val="hybridMultilevel"/>
    <w:tmpl w:val="FC9A3C3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02209D"/>
    <w:multiLevelType w:val="hybridMultilevel"/>
    <w:tmpl w:val="DF74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01325"/>
    <w:multiLevelType w:val="hybridMultilevel"/>
    <w:tmpl w:val="6616EE3C"/>
    <w:lvl w:ilvl="0" w:tplc="9C5E2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37DA"/>
    <w:multiLevelType w:val="hybridMultilevel"/>
    <w:tmpl w:val="979815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302141"/>
    <w:multiLevelType w:val="hybridMultilevel"/>
    <w:tmpl w:val="E6365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17532C"/>
    <w:multiLevelType w:val="hybridMultilevel"/>
    <w:tmpl w:val="0BD8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1"/>
  </w:num>
  <w:num w:numId="5">
    <w:abstractNumId w:val="7"/>
  </w:num>
  <w:num w:numId="6">
    <w:abstractNumId w:val="18"/>
  </w:num>
  <w:num w:numId="7">
    <w:abstractNumId w:val="19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  <w:num w:numId="13">
    <w:abstractNumId w:val="17"/>
  </w:num>
  <w:num w:numId="14">
    <w:abstractNumId w:val="23"/>
  </w:num>
  <w:num w:numId="15">
    <w:abstractNumId w:val="9"/>
  </w:num>
  <w:num w:numId="16">
    <w:abstractNumId w:val="12"/>
  </w:num>
  <w:num w:numId="17">
    <w:abstractNumId w:val="21"/>
  </w:num>
  <w:num w:numId="18">
    <w:abstractNumId w:val="13"/>
  </w:num>
  <w:num w:numId="19">
    <w:abstractNumId w:val="22"/>
  </w:num>
  <w:num w:numId="20">
    <w:abstractNumId w:val="14"/>
  </w:num>
  <w:num w:numId="21">
    <w:abstractNumId w:val="6"/>
  </w:num>
  <w:num w:numId="22">
    <w:abstractNumId w:val="10"/>
  </w:num>
  <w:num w:numId="23">
    <w:abstractNumId w:val="15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09"/>
    <w:rsid w:val="000304C0"/>
    <w:rsid w:val="0007089F"/>
    <w:rsid w:val="000A6756"/>
    <w:rsid w:val="000E4DE7"/>
    <w:rsid w:val="000F570B"/>
    <w:rsid w:val="00105A25"/>
    <w:rsid w:val="00126505"/>
    <w:rsid w:val="00133F92"/>
    <w:rsid w:val="0016034A"/>
    <w:rsid w:val="0016178F"/>
    <w:rsid w:val="001654AC"/>
    <w:rsid w:val="00184D3F"/>
    <w:rsid w:val="001927F2"/>
    <w:rsid w:val="001A4115"/>
    <w:rsid w:val="001A7FE3"/>
    <w:rsid w:val="001C2C64"/>
    <w:rsid w:val="002311D9"/>
    <w:rsid w:val="00236D77"/>
    <w:rsid w:val="00241982"/>
    <w:rsid w:val="002621D8"/>
    <w:rsid w:val="002701F6"/>
    <w:rsid w:val="002C0812"/>
    <w:rsid w:val="002F0134"/>
    <w:rsid w:val="003141E7"/>
    <w:rsid w:val="00314605"/>
    <w:rsid w:val="0033633F"/>
    <w:rsid w:val="003477E0"/>
    <w:rsid w:val="00365661"/>
    <w:rsid w:val="003B682B"/>
    <w:rsid w:val="003D7DFF"/>
    <w:rsid w:val="00414B7D"/>
    <w:rsid w:val="00426CFD"/>
    <w:rsid w:val="00440CC1"/>
    <w:rsid w:val="00442E58"/>
    <w:rsid w:val="00462C2E"/>
    <w:rsid w:val="00472A87"/>
    <w:rsid w:val="00473F36"/>
    <w:rsid w:val="00480B61"/>
    <w:rsid w:val="004E364B"/>
    <w:rsid w:val="004F59C0"/>
    <w:rsid w:val="00515E62"/>
    <w:rsid w:val="005274B6"/>
    <w:rsid w:val="00535B82"/>
    <w:rsid w:val="00555689"/>
    <w:rsid w:val="00562F60"/>
    <w:rsid w:val="0058310A"/>
    <w:rsid w:val="0059422C"/>
    <w:rsid w:val="005A707A"/>
    <w:rsid w:val="005B4EAC"/>
    <w:rsid w:val="005D6138"/>
    <w:rsid w:val="005E01F4"/>
    <w:rsid w:val="005F2CD0"/>
    <w:rsid w:val="00603F96"/>
    <w:rsid w:val="00612700"/>
    <w:rsid w:val="006219F1"/>
    <w:rsid w:val="00623E3B"/>
    <w:rsid w:val="006409A5"/>
    <w:rsid w:val="006631F3"/>
    <w:rsid w:val="00685253"/>
    <w:rsid w:val="0069462D"/>
    <w:rsid w:val="006B7D7E"/>
    <w:rsid w:val="006D288C"/>
    <w:rsid w:val="006D2F6B"/>
    <w:rsid w:val="006E3406"/>
    <w:rsid w:val="006F1118"/>
    <w:rsid w:val="006F2BEA"/>
    <w:rsid w:val="007020A2"/>
    <w:rsid w:val="00711920"/>
    <w:rsid w:val="00735F0D"/>
    <w:rsid w:val="00741128"/>
    <w:rsid w:val="00743FB6"/>
    <w:rsid w:val="00746869"/>
    <w:rsid w:val="007742C0"/>
    <w:rsid w:val="007905AF"/>
    <w:rsid w:val="007B2475"/>
    <w:rsid w:val="007B33B6"/>
    <w:rsid w:val="007B6C3C"/>
    <w:rsid w:val="007C2EFA"/>
    <w:rsid w:val="007E6D2B"/>
    <w:rsid w:val="007F14D0"/>
    <w:rsid w:val="00823597"/>
    <w:rsid w:val="00824409"/>
    <w:rsid w:val="008314B2"/>
    <w:rsid w:val="0083205D"/>
    <w:rsid w:val="00833734"/>
    <w:rsid w:val="0085206A"/>
    <w:rsid w:val="00854644"/>
    <w:rsid w:val="00866704"/>
    <w:rsid w:val="00870549"/>
    <w:rsid w:val="0087335C"/>
    <w:rsid w:val="00873E00"/>
    <w:rsid w:val="00884A48"/>
    <w:rsid w:val="008A323B"/>
    <w:rsid w:val="008A5496"/>
    <w:rsid w:val="008D4AA4"/>
    <w:rsid w:val="008F23EB"/>
    <w:rsid w:val="009124A5"/>
    <w:rsid w:val="0094746C"/>
    <w:rsid w:val="00952032"/>
    <w:rsid w:val="00963AF7"/>
    <w:rsid w:val="009B5211"/>
    <w:rsid w:val="009D0E12"/>
    <w:rsid w:val="00A35D08"/>
    <w:rsid w:val="00A50209"/>
    <w:rsid w:val="00A80B2B"/>
    <w:rsid w:val="00A85298"/>
    <w:rsid w:val="00A900FE"/>
    <w:rsid w:val="00A946CA"/>
    <w:rsid w:val="00AA50BC"/>
    <w:rsid w:val="00AC0F71"/>
    <w:rsid w:val="00AE1F5C"/>
    <w:rsid w:val="00AF0A2A"/>
    <w:rsid w:val="00AF4BE4"/>
    <w:rsid w:val="00B12300"/>
    <w:rsid w:val="00B12F33"/>
    <w:rsid w:val="00B15B8E"/>
    <w:rsid w:val="00B3477D"/>
    <w:rsid w:val="00B70309"/>
    <w:rsid w:val="00B74273"/>
    <w:rsid w:val="00B7534F"/>
    <w:rsid w:val="00B92C7D"/>
    <w:rsid w:val="00B93830"/>
    <w:rsid w:val="00BE4A54"/>
    <w:rsid w:val="00BF004A"/>
    <w:rsid w:val="00BF1D1F"/>
    <w:rsid w:val="00C11F7D"/>
    <w:rsid w:val="00C1656E"/>
    <w:rsid w:val="00C16F8E"/>
    <w:rsid w:val="00C22E63"/>
    <w:rsid w:val="00C419FF"/>
    <w:rsid w:val="00C446EC"/>
    <w:rsid w:val="00C52394"/>
    <w:rsid w:val="00CD6538"/>
    <w:rsid w:val="00CE34E1"/>
    <w:rsid w:val="00D00663"/>
    <w:rsid w:val="00D028C7"/>
    <w:rsid w:val="00D11D32"/>
    <w:rsid w:val="00D334C8"/>
    <w:rsid w:val="00D40C81"/>
    <w:rsid w:val="00D82739"/>
    <w:rsid w:val="00D8720C"/>
    <w:rsid w:val="00D921CF"/>
    <w:rsid w:val="00D978B5"/>
    <w:rsid w:val="00DA12AE"/>
    <w:rsid w:val="00DD36E0"/>
    <w:rsid w:val="00DF1D3A"/>
    <w:rsid w:val="00DF3235"/>
    <w:rsid w:val="00DF4EE0"/>
    <w:rsid w:val="00E67452"/>
    <w:rsid w:val="00EB2321"/>
    <w:rsid w:val="00EB409F"/>
    <w:rsid w:val="00EB60AD"/>
    <w:rsid w:val="00ED4879"/>
    <w:rsid w:val="00ED79BC"/>
    <w:rsid w:val="00EF2EEF"/>
    <w:rsid w:val="00EF3752"/>
    <w:rsid w:val="00F02D24"/>
    <w:rsid w:val="00F05BEE"/>
    <w:rsid w:val="00F14F04"/>
    <w:rsid w:val="00F345F5"/>
    <w:rsid w:val="00F4293C"/>
    <w:rsid w:val="00F511CB"/>
    <w:rsid w:val="00F7664D"/>
    <w:rsid w:val="00FB5899"/>
    <w:rsid w:val="00FC2997"/>
    <w:rsid w:val="00FC4847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F5D75"/>
  <w15:chartTrackingRefBased/>
  <w15:docId w15:val="{D3278068-2A6B-4C82-86DC-6BC291D4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701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b/>
      <w:i/>
      <w:sz w:val="28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244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8244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24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230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603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F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3F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F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3F9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2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2E5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42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2E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E3E4-A3E8-49E7-9DDF-43F453E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1610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Dubieleska</dc:creator>
  <cp:keywords/>
  <cp:lastModifiedBy>Monika Olkucka</cp:lastModifiedBy>
  <cp:revision>9</cp:revision>
  <cp:lastPrinted>2020-10-14T08:12:00Z</cp:lastPrinted>
  <dcterms:created xsi:type="dcterms:W3CDTF">2020-10-14T06:48:00Z</dcterms:created>
  <dcterms:modified xsi:type="dcterms:W3CDTF">2020-10-14T08:14:00Z</dcterms:modified>
</cp:coreProperties>
</file>