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FA" w:rsidRDefault="008354FA" w:rsidP="00244AD7">
      <w:pPr>
        <w:pStyle w:val="Nagwek1"/>
        <w:tabs>
          <w:tab w:val="left" w:pos="0"/>
        </w:tabs>
        <w:jc w:val="left"/>
        <w:rPr>
          <w:rFonts w:eastAsia="Times New Roman"/>
          <w:szCs w:val="20"/>
          <w:lang w:eastAsia="ar-SA"/>
        </w:rPr>
      </w:pPr>
    </w:p>
    <w:p w:rsidR="00244AD7" w:rsidRDefault="00244AD7" w:rsidP="00244AD7">
      <w:pPr>
        <w:pStyle w:val="Nagwek1"/>
        <w:tabs>
          <w:tab w:val="left" w:pos="0"/>
        </w:tabs>
        <w:jc w:val="left"/>
        <w:rPr>
          <w:rFonts w:eastAsia="Times New Roman"/>
          <w:szCs w:val="20"/>
          <w:lang w:eastAsia="ar-SA"/>
        </w:rPr>
      </w:pPr>
      <w:r>
        <w:rPr>
          <w:rFonts w:eastAsia="Times New Roman"/>
          <w:szCs w:val="20"/>
          <w:lang w:eastAsia="ar-SA"/>
        </w:rPr>
        <w:t>RR.MK.6840.</w:t>
      </w:r>
      <w:r w:rsidR="00F54E2E">
        <w:rPr>
          <w:rFonts w:eastAsia="Times New Roman"/>
          <w:szCs w:val="20"/>
          <w:lang w:eastAsia="ar-SA"/>
        </w:rPr>
        <w:t>2</w:t>
      </w:r>
      <w:r>
        <w:rPr>
          <w:rFonts w:eastAsia="Times New Roman"/>
          <w:szCs w:val="20"/>
          <w:lang w:eastAsia="ar-SA"/>
        </w:rPr>
        <w:t>.201</w:t>
      </w:r>
      <w:r w:rsidR="00F54E2E">
        <w:rPr>
          <w:rFonts w:eastAsia="Times New Roman"/>
          <w:szCs w:val="20"/>
          <w:lang w:eastAsia="ar-SA"/>
        </w:rPr>
        <w:t>7</w:t>
      </w:r>
      <w:r>
        <w:rPr>
          <w:rFonts w:eastAsia="Times New Roman"/>
          <w:szCs w:val="20"/>
          <w:lang w:eastAsia="ar-SA"/>
        </w:rPr>
        <w:t xml:space="preserve">                                                                                                                      Szczytno, dnia 1</w:t>
      </w:r>
      <w:r w:rsidR="00F54E2E">
        <w:rPr>
          <w:rFonts w:eastAsia="Times New Roman"/>
          <w:szCs w:val="20"/>
          <w:lang w:eastAsia="ar-SA"/>
        </w:rPr>
        <w:t>2.</w:t>
      </w:r>
      <w:r>
        <w:rPr>
          <w:rFonts w:eastAsia="Times New Roman"/>
          <w:szCs w:val="20"/>
          <w:lang w:eastAsia="ar-SA"/>
        </w:rPr>
        <w:t>0</w:t>
      </w:r>
      <w:r w:rsidR="00F54E2E">
        <w:rPr>
          <w:rFonts w:eastAsia="Times New Roman"/>
          <w:szCs w:val="20"/>
          <w:lang w:eastAsia="ar-SA"/>
        </w:rPr>
        <w:t>4</w:t>
      </w:r>
      <w:r>
        <w:rPr>
          <w:rFonts w:eastAsia="Times New Roman"/>
          <w:szCs w:val="20"/>
          <w:lang w:eastAsia="ar-SA"/>
        </w:rPr>
        <w:t>.201</w:t>
      </w:r>
      <w:r w:rsidR="00F54E2E">
        <w:rPr>
          <w:rFonts w:eastAsia="Times New Roman"/>
          <w:szCs w:val="20"/>
          <w:lang w:eastAsia="ar-SA"/>
        </w:rPr>
        <w:t>7</w:t>
      </w:r>
      <w:r>
        <w:rPr>
          <w:rFonts w:eastAsia="Times New Roman"/>
          <w:szCs w:val="20"/>
          <w:lang w:eastAsia="ar-SA"/>
        </w:rPr>
        <w:t xml:space="preserve"> r.</w:t>
      </w:r>
    </w:p>
    <w:p w:rsidR="00244AD7" w:rsidRDefault="00244AD7" w:rsidP="00244AD7">
      <w:pPr>
        <w:pStyle w:val="Nagwek2"/>
        <w:tabs>
          <w:tab w:val="left" w:pos="0"/>
        </w:tabs>
        <w:rPr>
          <w:rFonts w:eastAsia="Lucida Sans Unicode" w:cs="Tahoma"/>
          <w:b/>
          <w:color w:val="000000"/>
          <w:szCs w:val="28"/>
          <w:lang w:val="en-US" w:eastAsia="en-US" w:bidi="en-US"/>
        </w:rPr>
      </w:pPr>
      <w:proofErr w:type="spellStart"/>
      <w:r>
        <w:rPr>
          <w:rFonts w:eastAsia="Lucida Sans Unicode" w:cs="Tahoma"/>
          <w:b/>
          <w:color w:val="000000"/>
          <w:szCs w:val="28"/>
          <w:lang w:val="en-US" w:eastAsia="en-US" w:bidi="en-US"/>
        </w:rPr>
        <w:t>Wójt</w:t>
      </w:r>
      <w:proofErr w:type="spellEnd"/>
      <w:r>
        <w:rPr>
          <w:rFonts w:eastAsia="Lucida Sans Unicode" w:cs="Tahoma"/>
          <w:b/>
          <w:color w:val="000000"/>
          <w:szCs w:val="28"/>
          <w:lang w:val="en-US" w:eastAsia="en-US" w:bidi="en-US"/>
        </w:rPr>
        <w:t xml:space="preserve"> </w:t>
      </w:r>
      <w:proofErr w:type="spellStart"/>
      <w:r>
        <w:rPr>
          <w:rFonts w:eastAsia="Lucida Sans Unicode" w:cs="Tahoma"/>
          <w:b/>
          <w:color w:val="000000"/>
          <w:szCs w:val="28"/>
          <w:lang w:val="en-US" w:eastAsia="en-US" w:bidi="en-US"/>
        </w:rPr>
        <w:t>Gminy</w:t>
      </w:r>
      <w:proofErr w:type="spellEnd"/>
      <w:r>
        <w:rPr>
          <w:rFonts w:eastAsia="Lucida Sans Unicode" w:cs="Tahoma"/>
          <w:b/>
          <w:color w:val="000000"/>
          <w:szCs w:val="28"/>
          <w:lang w:val="en-US" w:eastAsia="en-US" w:bidi="en-US"/>
        </w:rPr>
        <w:t xml:space="preserve"> </w:t>
      </w:r>
      <w:proofErr w:type="spellStart"/>
      <w:r>
        <w:rPr>
          <w:rFonts w:eastAsia="Lucida Sans Unicode" w:cs="Tahoma"/>
          <w:b/>
          <w:color w:val="000000"/>
          <w:szCs w:val="28"/>
          <w:lang w:val="en-US" w:eastAsia="en-US" w:bidi="en-US"/>
        </w:rPr>
        <w:t>Szczytno</w:t>
      </w:r>
      <w:proofErr w:type="spellEnd"/>
      <w:r>
        <w:rPr>
          <w:rFonts w:eastAsia="Lucida Sans Unicode" w:cs="Tahoma"/>
          <w:b/>
          <w:color w:val="000000"/>
          <w:szCs w:val="28"/>
          <w:lang w:val="en-US" w:eastAsia="en-US" w:bidi="en-US"/>
        </w:rPr>
        <w:t>.</w:t>
      </w:r>
    </w:p>
    <w:p w:rsidR="00244AD7" w:rsidRDefault="00244AD7" w:rsidP="00244AD7">
      <w:pPr>
        <w:tabs>
          <w:tab w:val="left" w:pos="0"/>
        </w:tabs>
        <w:jc w:val="center"/>
        <w:rPr>
          <w:rFonts w:eastAsia="Times New Roman"/>
          <w:sz w:val="22"/>
          <w:szCs w:val="22"/>
          <w:lang w:eastAsia="ar-SA"/>
        </w:rPr>
      </w:pPr>
      <w:r>
        <w:rPr>
          <w:rFonts w:eastAsia="Times New Roman"/>
          <w:sz w:val="22"/>
          <w:szCs w:val="22"/>
          <w:lang w:eastAsia="ar-SA"/>
        </w:rPr>
        <w:t>Na podstawie § 6 pkt 1 Rozporządzenia Rady Ministrów z dnia 14 września 2004 r. w sprawie sposobu i trybu przeprowadzania przetargów oraz rokowań     na zbycie nieruchomości (Dz. U. z 2014 r., poz. 1490) ogłasza przetarg ustny ograniczony na zbycie n/w nieruchomości:</w:t>
      </w:r>
    </w:p>
    <w:tbl>
      <w:tblPr>
        <w:tblW w:w="14331" w:type="dxa"/>
        <w:tblInd w:w="-19" w:type="dxa"/>
        <w:tblLayout w:type="fixed"/>
        <w:tblCellMar>
          <w:left w:w="70" w:type="dxa"/>
          <w:right w:w="70" w:type="dxa"/>
        </w:tblCellMar>
        <w:tblLook w:val="0000" w:firstRow="0" w:lastRow="0" w:firstColumn="0" w:lastColumn="0" w:noHBand="0" w:noVBand="0"/>
      </w:tblPr>
      <w:tblGrid>
        <w:gridCol w:w="679"/>
        <w:gridCol w:w="867"/>
        <w:gridCol w:w="827"/>
        <w:gridCol w:w="1185"/>
        <w:gridCol w:w="1418"/>
        <w:gridCol w:w="1559"/>
        <w:gridCol w:w="2835"/>
        <w:gridCol w:w="1701"/>
        <w:gridCol w:w="2126"/>
        <w:gridCol w:w="1134"/>
      </w:tblGrid>
      <w:tr w:rsidR="00721952" w:rsidTr="00653A72">
        <w:tc>
          <w:tcPr>
            <w:tcW w:w="679"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jc w:val="center"/>
              <w:rPr>
                <w:rFonts w:eastAsia="Times New Roman"/>
                <w:b/>
                <w:color w:val="000000"/>
                <w:lang w:eastAsia="ar-SA"/>
              </w:rPr>
            </w:pPr>
            <w:r>
              <w:rPr>
                <w:rFonts w:eastAsia="Times New Roman"/>
                <w:b/>
                <w:color w:val="000000"/>
                <w:lang w:eastAsia="ar-SA"/>
              </w:rPr>
              <w:t>L.p.</w:t>
            </w:r>
          </w:p>
          <w:p w:rsidR="00721952" w:rsidRDefault="00721952" w:rsidP="00653A72">
            <w:pPr>
              <w:jc w:val="center"/>
              <w:rPr>
                <w:rFonts w:eastAsia="Times New Roman"/>
                <w:b/>
                <w:color w:val="000000"/>
                <w:lang w:eastAsia="ar-SA"/>
              </w:rPr>
            </w:pPr>
          </w:p>
        </w:tc>
        <w:tc>
          <w:tcPr>
            <w:tcW w:w="867"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pStyle w:val="Nagwek2"/>
              <w:tabs>
                <w:tab w:val="left" w:pos="0"/>
              </w:tabs>
              <w:rPr>
                <w:rFonts w:eastAsia="Times New Roman"/>
                <w:b/>
                <w:color w:val="000000"/>
                <w:sz w:val="24"/>
                <w:lang w:eastAsia="ar-SA"/>
              </w:rPr>
            </w:pPr>
            <w:r>
              <w:rPr>
                <w:rFonts w:eastAsia="Times New Roman"/>
                <w:b/>
                <w:color w:val="000000"/>
                <w:sz w:val="24"/>
                <w:lang w:eastAsia="ar-SA"/>
              </w:rPr>
              <w:t>Nr działki</w:t>
            </w:r>
          </w:p>
        </w:tc>
        <w:tc>
          <w:tcPr>
            <w:tcW w:w="827"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pStyle w:val="Nagwek2"/>
              <w:tabs>
                <w:tab w:val="left" w:pos="0"/>
              </w:tabs>
              <w:rPr>
                <w:rFonts w:eastAsia="Times New Roman"/>
                <w:b/>
                <w:color w:val="000000"/>
                <w:sz w:val="24"/>
                <w:lang w:eastAsia="ar-SA"/>
              </w:rPr>
            </w:pPr>
            <w:r>
              <w:rPr>
                <w:rFonts w:eastAsia="Times New Roman"/>
                <w:b/>
                <w:color w:val="000000"/>
                <w:sz w:val="24"/>
                <w:lang w:eastAsia="ar-SA"/>
              </w:rPr>
              <w:t>Pow. w ha</w:t>
            </w:r>
          </w:p>
        </w:tc>
        <w:tc>
          <w:tcPr>
            <w:tcW w:w="1185"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pStyle w:val="Nagwek2"/>
              <w:tabs>
                <w:tab w:val="left" w:pos="0"/>
              </w:tabs>
              <w:rPr>
                <w:rFonts w:eastAsia="Times New Roman"/>
                <w:b/>
                <w:color w:val="000000"/>
                <w:sz w:val="24"/>
                <w:lang w:eastAsia="ar-SA"/>
              </w:rPr>
            </w:pPr>
            <w:r>
              <w:rPr>
                <w:rFonts w:eastAsia="Times New Roman"/>
                <w:b/>
                <w:color w:val="000000"/>
                <w:sz w:val="24"/>
                <w:lang w:eastAsia="ar-SA"/>
              </w:rPr>
              <w:t>Nr KW</w:t>
            </w:r>
          </w:p>
        </w:tc>
        <w:tc>
          <w:tcPr>
            <w:tcW w:w="1418"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pStyle w:val="Nagwek2"/>
              <w:tabs>
                <w:tab w:val="left" w:pos="0"/>
              </w:tabs>
              <w:snapToGrid w:val="0"/>
              <w:rPr>
                <w:rFonts w:eastAsia="Times New Roman"/>
                <w:b/>
                <w:color w:val="000000"/>
                <w:sz w:val="24"/>
                <w:lang w:eastAsia="ar-SA"/>
              </w:rPr>
            </w:pPr>
          </w:p>
          <w:p w:rsidR="00721952" w:rsidRDefault="00721952" w:rsidP="00653A72">
            <w:pPr>
              <w:jc w:val="center"/>
              <w:rPr>
                <w:rFonts w:eastAsia="Times New Roman"/>
                <w:b/>
                <w:color w:val="000000"/>
                <w:lang w:eastAsia="ar-SA"/>
              </w:rPr>
            </w:pPr>
            <w:r>
              <w:rPr>
                <w:rFonts w:eastAsia="Times New Roman"/>
                <w:b/>
                <w:color w:val="000000"/>
                <w:lang w:eastAsia="ar-SA"/>
              </w:rPr>
              <w:t>Obręb</w:t>
            </w:r>
          </w:p>
        </w:tc>
        <w:tc>
          <w:tcPr>
            <w:tcW w:w="1559"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r>
              <w:rPr>
                <w:rFonts w:eastAsia="Times New Roman"/>
                <w:b/>
                <w:color w:val="000000"/>
                <w:lang w:eastAsia="ar-SA"/>
              </w:rPr>
              <w:t>Cena wywoławcza</w:t>
            </w:r>
          </w:p>
          <w:p w:rsidR="00721952" w:rsidRDefault="00721952" w:rsidP="00653A72">
            <w:pPr>
              <w:jc w:val="center"/>
              <w:rPr>
                <w:rFonts w:eastAsia="Times New Roman"/>
                <w:b/>
                <w:color w:val="000000"/>
                <w:lang w:eastAsia="ar-SA"/>
              </w:rPr>
            </w:pPr>
            <w:r>
              <w:rPr>
                <w:rFonts w:eastAsia="Times New Roman"/>
                <w:b/>
                <w:color w:val="000000"/>
                <w:lang w:eastAsia="ar-SA"/>
              </w:rPr>
              <w:t>w zł</w:t>
            </w:r>
          </w:p>
        </w:tc>
        <w:tc>
          <w:tcPr>
            <w:tcW w:w="2835"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jc w:val="center"/>
              <w:rPr>
                <w:rFonts w:eastAsia="Times New Roman"/>
                <w:b/>
                <w:color w:val="000000"/>
                <w:lang w:eastAsia="ar-SA"/>
              </w:rPr>
            </w:pPr>
          </w:p>
          <w:p w:rsidR="00721952" w:rsidRDefault="00721952" w:rsidP="00653A72">
            <w:pPr>
              <w:jc w:val="center"/>
              <w:rPr>
                <w:rFonts w:eastAsia="Times New Roman"/>
                <w:b/>
                <w:color w:val="000000"/>
                <w:lang w:eastAsia="ar-SA"/>
              </w:rPr>
            </w:pPr>
            <w:r>
              <w:rPr>
                <w:rFonts w:eastAsia="Times New Roman"/>
                <w:b/>
                <w:color w:val="000000"/>
                <w:lang w:eastAsia="ar-SA"/>
              </w:rPr>
              <w:t>Przeznaczenie w planie zagospodarowania przestrzennego</w:t>
            </w:r>
          </w:p>
          <w:p w:rsidR="00721952" w:rsidRDefault="00721952" w:rsidP="00653A72">
            <w:pPr>
              <w:jc w:val="center"/>
              <w:rPr>
                <w:rFonts w:eastAsia="Times New Roman"/>
                <w:b/>
                <w:color w:val="000000"/>
                <w:lang w:eastAsia="ar-SA"/>
              </w:rPr>
            </w:pPr>
          </w:p>
        </w:tc>
        <w:tc>
          <w:tcPr>
            <w:tcW w:w="1701"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pStyle w:val="Nagwek2"/>
              <w:tabs>
                <w:tab w:val="left" w:pos="0"/>
              </w:tabs>
              <w:rPr>
                <w:rFonts w:eastAsia="Times New Roman"/>
                <w:b/>
                <w:color w:val="000000"/>
                <w:sz w:val="24"/>
                <w:lang w:eastAsia="ar-SA"/>
              </w:rPr>
            </w:pPr>
            <w:r>
              <w:rPr>
                <w:rFonts w:eastAsia="Times New Roman"/>
                <w:b/>
                <w:color w:val="000000"/>
                <w:sz w:val="24"/>
                <w:lang w:eastAsia="ar-SA"/>
              </w:rPr>
              <w:t>Forma zbycia</w:t>
            </w:r>
          </w:p>
        </w:tc>
        <w:tc>
          <w:tcPr>
            <w:tcW w:w="2126" w:type="dxa"/>
            <w:tcBorders>
              <w:top w:val="single" w:sz="4" w:space="0" w:color="000000"/>
              <w:left w:val="single" w:sz="4" w:space="0" w:color="000000"/>
              <w:bottom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r>
              <w:rPr>
                <w:rFonts w:eastAsia="Times New Roman"/>
                <w:b/>
                <w:color w:val="000000"/>
                <w:lang w:eastAsia="ar-SA"/>
              </w:rPr>
              <w:t>Termin zagospodarowania nieruchomości</w:t>
            </w:r>
          </w:p>
        </w:tc>
        <w:tc>
          <w:tcPr>
            <w:tcW w:w="113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721952" w:rsidRDefault="00721952" w:rsidP="00653A72">
            <w:pPr>
              <w:snapToGrid w:val="0"/>
              <w:jc w:val="center"/>
              <w:rPr>
                <w:rFonts w:eastAsia="Times New Roman"/>
                <w:b/>
                <w:color w:val="000000"/>
                <w:lang w:eastAsia="ar-SA"/>
              </w:rPr>
            </w:pPr>
          </w:p>
          <w:p w:rsidR="00721952" w:rsidRDefault="00721952" w:rsidP="00653A72">
            <w:pPr>
              <w:pStyle w:val="Nagwek2"/>
              <w:tabs>
                <w:tab w:val="left" w:pos="0"/>
              </w:tabs>
              <w:rPr>
                <w:rFonts w:eastAsia="Times New Roman"/>
                <w:b/>
                <w:color w:val="000000"/>
                <w:sz w:val="24"/>
                <w:lang w:eastAsia="ar-SA"/>
              </w:rPr>
            </w:pPr>
            <w:r>
              <w:rPr>
                <w:rFonts w:eastAsia="Times New Roman"/>
                <w:b/>
                <w:color w:val="000000"/>
                <w:sz w:val="24"/>
                <w:lang w:eastAsia="ar-SA"/>
              </w:rPr>
              <w:t>Wadium</w:t>
            </w:r>
          </w:p>
          <w:p w:rsidR="00721952" w:rsidRDefault="00721952" w:rsidP="00653A72">
            <w:pPr>
              <w:jc w:val="center"/>
              <w:rPr>
                <w:rFonts w:eastAsia="Times New Roman"/>
                <w:b/>
                <w:color w:val="000000"/>
                <w:lang w:eastAsia="ar-SA"/>
              </w:rPr>
            </w:pPr>
            <w:r>
              <w:rPr>
                <w:rFonts w:eastAsia="Times New Roman"/>
                <w:b/>
                <w:color w:val="000000"/>
                <w:lang w:eastAsia="ar-SA"/>
              </w:rPr>
              <w:t>w zł</w:t>
            </w:r>
          </w:p>
        </w:tc>
      </w:tr>
      <w:tr w:rsidR="00721952" w:rsidTr="00653A72">
        <w:tc>
          <w:tcPr>
            <w:tcW w:w="679" w:type="dxa"/>
            <w:tcBorders>
              <w:left w:val="single" w:sz="4" w:space="0" w:color="000000"/>
              <w:bottom w:val="single" w:sz="4" w:space="0" w:color="000000"/>
            </w:tcBorders>
            <w:vAlign w:val="center"/>
          </w:tcPr>
          <w:p w:rsidR="00721952" w:rsidRDefault="00721952" w:rsidP="00653A72">
            <w:pPr>
              <w:pStyle w:val="Tekstpodstawowy"/>
              <w:snapToGrid w:val="0"/>
              <w:rPr>
                <w:rFonts w:eastAsia="Times New Roman"/>
                <w:lang w:eastAsia="ar-SA"/>
              </w:rPr>
            </w:pPr>
            <w:r>
              <w:rPr>
                <w:rFonts w:eastAsia="Times New Roman"/>
                <w:lang w:eastAsia="ar-SA"/>
              </w:rPr>
              <w:t>1.</w:t>
            </w:r>
          </w:p>
        </w:tc>
        <w:tc>
          <w:tcPr>
            <w:tcW w:w="867" w:type="dxa"/>
            <w:tcBorders>
              <w:left w:val="single" w:sz="4" w:space="0" w:color="000000"/>
              <w:bottom w:val="single" w:sz="4" w:space="0" w:color="000000"/>
            </w:tcBorders>
            <w:vAlign w:val="center"/>
          </w:tcPr>
          <w:p w:rsidR="00721952" w:rsidRDefault="00721952" w:rsidP="00653A72">
            <w:pPr>
              <w:snapToGrid w:val="0"/>
              <w:jc w:val="center"/>
              <w:rPr>
                <w:rFonts w:eastAsia="Times New Roman"/>
                <w:lang w:eastAsia="ar-SA"/>
              </w:rPr>
            </w:pPr>
            <w:r>
              <w:rPr>
                <w:rFonts w:eastAsia="Times New Roman"/>
                <w:lang w:eastAsia="ar-SA"/>
              </w:rPr>
              <w:t>11/1</w:t>
            </w:r>
          </w:p>
        </w:tc>
        <w:tc>
          <w:tcPr>
            <w:tcW w:w="827" w:type="dxa"/>
            <w:tcBorders>
              <w:left w:val="single" w:sz="4" w:space="0" w:color="000000"/>
              <w:bottom w:val="single" w:sz="4" w:space="0" w:color="000000"/>
            </w:tcBorders>
            <w:vAlign w:val="center"/>
          </w:tcPr>
          <w:p w:rsidR="00721952" w:rsidRDefault="00721952" w:rsidP="00653A72">
            <w:pPr>
              <w:snapToGrid w:val="0"/>
              <w:jc w:val="center"/>
              <w:rPr>
                <w:rFonts w:eastAsia="Times New Roman"/>
                <w:lang w:eastAsia="ar-SA"/>
              </w:rPr>
            </w:pPr>
            <w:r>
              <w:rPr>
                <w:rFonts w:eastAsia="Times New Roman"/>
                <w:lang w:eastAsia="ar-SA"/>
              </w:rPr>
              <w:t>0,4900</w:t>
            </w:r>
          </w:p>
        </w:tc>
        <w:tc>
          <w:tcPr>
            <w:tcW w:w="1185" w:type="dxa"/>
            <w:tcBorders>
              <w:left w:val="single" w:sz="4" w:space="0" w:color="000000"/>
              <w:bottom w:val="single" w:sz="4" w:space="0" w:color="000000"/>
            </w:tcBorders>
            <w:vAlign w:val="center"/>
          </w:tcPr>
          <w:p w:rsidR="00721952" w:rsidRDefault="00721952" w:rsidP="00653A72">
            <w:pPr>
              <w:snapToGrid w:val="0"/>
              <w:jc w:val="center"/>
              <w:rPr>
                <w:rFonts w:eastAsia="Times New Roman"/>
                <w:lang w:eastAsia="ar-SA"/>
              </w:rPr>
            </w:pPr>
            <w:r>
              <w:rPr>
                <w:rFonts w:eastAsia="Times New Roman"/>
                <w:lang w:eastAsia="ar-SA"/>
              </w:rPr>
              <w:t>OL1S/00000155/7</w:t>
            </w:r>
          </w:p>
        </w:tc>
        <w:tc>
          <w:tcPr>
            <w:tcW w:w="1418" w:type="dxa"/>
            <w:tcBorders>
              <w:left w:val="single" w:sz="4" w:space="0" w:color="000000"/>
              <w:bottom w:val="single" w:sz="4" w:space="0" w:color="000000"/>
            </w:tcBorders>
            <w:vAlign w:val="center"/>
          </w:tcPr>
          <w:p w:rsidR="00721952" w:rsidRDefault="00721952" w:rsidP="00653A72">
            <w:pPr>
              <w:pStyle w:val="Nagwek2"/>
              <w:tabs>
                <w:tab w:val="left" w:pos="0"/>
              </w:tabs>
              <w:snapToGrid w:val="0"/>
              <w:rPr>
                <w:rFonts w:eastAsia="Times New Roman"/>
                <w:sz w:val="24"/>
                <w:lang w:eastAsia="ar-SA"/>
              </w:rPr>
            </w:pPr>
            <w:r>
              <w:rPr>
                <w:rFonts w:eastAsia="Times New Roman"/>
                <w:sz w:val="24"/>
                <w:lang w:eastAsia="ar-SA"/>
              </w:rPr>
              <w:t>Gawrzyjałki</w:t>
            </w:r>
          </w:p>
        </w:tc>
        <w:tc>
          <w:tcPr>
            <w:tcW w:w="1559" w:type="dxa"/>
            <w:tcBorders>
              <w:left w:val="single" w:sz="4" w:space="0" w:color="000000"/>
              <w:bottom w:val="single" w:sz="4" w:space="0" w:color="000000"/>
            </w:tcBorders>
            <w:vAlign w:val="center"/>
          </w:tcPr>
          <w:p w:rsidR="00721952" w:rsidRDefault="00721952" w:rsidP="00653A72">
            <w:pPr>
              <w:snapToGrid w:val="0"/>
              <w:jc w:val="center"/>
              <w:rPr>
                <w:rFonts w:eastAsia="Times New Roman"/>
                <w:lang w:eastAsia="ar-SA"/>
              </w:rPr>
            </w:pPr>
          </w:p>
          <w:p w:rsidR="00721952" w:rsidRDefault="00721952" w:rsidP="00653A72">
            <w:pPr>
              <w:snapToGrid w:val="0"/>
              <w:jc w:val="center"/>
              <w:rPr>
                <w:rFonts w:eastAsia="Times New Roman"/>
                <w:lang w:eastAsia="ar-SA"/>
              </w:rPr>
            </w:pPr>
            <w:r>
              <w:rPr>
                <w:rFonts w:eastAsia="Times New Roman"/>
                <w:lang w:eastAsia="ar-SA"/>
              </w:rPr>
              <w:t>18 300,00</w:t>
            </w:r>
          </w:p>
          <w:p w:rsidR="00721952" w:rsidRDefault="00721952" w:rsidP="00653A72">
            <w:pPr>
              <w:snapToGrid w:val="0"/>
              <w:jc w:val="center"/>
              <w:rPr>
                <w:rFonts w:eastAsia="Times New Roman"/>
                <w:lang w:eastAsia="ar-SA"/>
              </w:rPr>
            </w:pPr>
            <w:r>
              <w:rPr>
                <w:rFonts w:eastAsia="Times New Roman"/>
                <w:lang w:eastAsia="ar-SA"/>
              </w:rPr>
              <w:t xml:space="preserve">zw. z VAT </w:t>
            </w:r>
          </w:p>
          <w:p w:rsidR="00721952" w:rsidRDefault="00721952" w:rsidP="00653A72">
            <w:pPr>
              <w:snapToGrid w:val="0"/>
              <w:jc w:val="center"/>
              <w:rPr>
                <w:rFonts w:eastAsia="Times New Roman"/>
                <w:lang w:eastAsia="ar-SA"/>
              </w:rPr>
            </w:pPr>
          </w:p>
        </w:tc>
        <w:tc>
          <w:tcPr>
            <w:tcW w:w="2835" w:type="dxa"/>
            <w:tcBorders>
              <w:left w:val="single" w:sz="4" w:space="0" w:color="000000"/>
              <w:bottom w:val="single" w:sz="4" w:space="0" w:color="000000"/>
            </w:tcBorders>
            <w:vAlign w:val="center"/>
          </w:tcPr>
          <w:p w:rsidR="00721952" w:rsidRDefault="00721952" w:rsidP="00653A72">
            <w:pPr>
              <w:snapToGrid w:val="0"/>
              <w:jc w:val="center"/>
              <w:rPr>
                <w:rFonts w:eastAsia="Times New Roman"/>
                <w:lang w:eastAsia="ar-SA"/>
              </w:rPr>
            </w:pPr>
            <w:r>
              <w:rPr>
                <w:rFonts w:eastAsia="Times New Roman"/>
                <w:lang w:eastAsia="ar-SA"/>
              </w:rPr>
              <w:t>Brak planu zagospodarowania przestrzennego – wykorzystywana na cele rolne</w:t>
            </w:r>
          </w:p>
        </w:tc>
        <w:tc>
          <w:tcPr>
            <w:tcW w:w="1701" w:type="dxa"/>
            <w:tcBorders>
              <w:left w:val="single" w:sz="4" w:space="0" w:color="000000"/>
              <w:bottom w:val="single" w:sz="4" w:space="0" w:color="000000"/>
            </w:tcBorders>
            <w:vAlign w:val="center"/>
          </w:tcPr>
          <w:p w:rsidR="00721952" w:rsidRDefault="00721952" w:rsidP="00653A72">
            <w:pPr>
              <w:pStyle w:val="Nagwek2"/>
              <w:tabs>
                <w:tab w:val="left" w:pos="0"/>
              </w:tabs>
              <w:snapToGrid w:val="0"/>
              <w:rPr>
                <w:rFonts w:eastAsia="Times New Roman"/>
                <w:sz w:val="24"/>
                <w:lang w:eastAsia="ar-SA"/>
              </w:rPr>
            </w:pPr>
            <w:r>
              <w:rPr>
                <w:rFonts w:eastAsia="Times New Roman"/>
                <w:sz w:val="24"/>
                <w:lang w:eastAsia="ar-SA"/>
              </w:rPr>
              <w:t>Własność</w:t>
            </w:r>
          </w:p>
        </w:tc>
        <w:tc>
          <w:tcPr>
            <w:tcW w:w="2126" w:type="dxa"/>
            <w:tcBorders>
              <w:left w:val="single" w:sz="4" w:space="0" w:color="000000"/>
              <w:bottom w:val="single" w:sz="4" w:space="0" w:color="000000"/>
            </w:tcBorders>
            <w:vAlign w:val="center"/>
          </w:tcPr>
          <w:p w:rsidR="00721952" w:rsidRDefault="00721952" w:rsidP="00653A72">
            <w:pPr>
              <w:pStyle w:val="Nagwek2"/>
              <w:tabs>
                <w:tab w:val="left" w:pos="0"/>
              </w:tabs>
              <w:snapToGrid w:val="0"/>
              <w:rPr>
                <w:rFonts w:eastAsia="Times New Roman"/>
                <w:sz w:val="24"/>
                <w:lang w:eastAsia="ar-SA"/>
              </w:rPr>
            </w:pPr>
            <w:r>
              <w:rPr>
                <w:rFonts w:eastAsia="Times New Roman"/>
                <w:sz w:val="24"/>
                <w:lang w:eastAsia="ar-SA"/>
              </w:rPr>
              <w:t xml:space="preserve">1 rok od dnia nabycia </w:t>
            </w:r>
          </w:p>
        </w:tc>
        <w:tc>
          <w:tcPr>
            <w:tcW w:w="1134" w:type="dxa"/>
            <w:tcBorders>
              <w:left w:val="single" w:sz="4" w:space="0" w:color="000000"/>
              <w:bottom w:val="single" w:sz="4" w:space="0" w:color="000000"/>
              <w:right w:val="single" w:sz="4" w:space="0" w:color="000000"/>
            </w:tcBorders>
            <w:vAlign w:val="center"/>
          </w:tcPr>
          <w:p w:rsidR="00721952" w:rsidRDefault="00721952" w:rsidP="00653A72">
            <w:pPr>
              <w:snapToGrid w:val="0"/>
              <w:jc w:val="center"/>
              <w:rPr>
                <w:rFonts w:eastAsia="Times New Roman"/>
                <w:lang w:eastAsia="ar-SA"/>
              </w:rPr>
            </w:pPr>
            <w:r>
              <w:rPr>
                <w:rFonts w:eastAsia="Times New Roman"/>
                <w:lang w:eastAsia="ar-SA"/>
              </w:rPr>
              <w:t>2000,00</w:t>
            </w:r>
          </w:p>
        </w:tc>
      </w:tr>
    </w:tbl>
    <w:p w:rsidR="00721952" w:rsidRDefault="00721952" w:rsidP="00721952">
      <w:pPr>
        <w:jc w:val="both"/>
        <w:rPr>
          <w:rFonts w:eastAsia="Times New Roman"/>
          <w:lang w:eastAsia="ar-SA"/>
        </w:rPr>
      </w:pPr>
      <w:r>
        <w:rPr>
          <w:rFonts w:eastAsia="Times New Roman"/>
          <w:b/>
          <w:bCs/>
          <w:lang w:eastAsia="ar-SA"/>
        </w:rPr>
        <w:t>OPIS NIERUCHOMOŚCI:</w:t>
      </w:r>
      <w:r>
        <w:rPr>
          <w:rFonts w:eastAsia="Times New Roman"/>
          <w:lang w:eastAsia="ar-SA"/>
        </w:rPr>
        <w:t xml:space="preserve"> Przedmiotowa nieruchomość położona jest w miejscowości Gawrzyjałki. Stan zagospodarowania – działka rolna niezabudowana. Kształt działki regularny, zbliżony do prostokąta, brak dostępu do drogi publicznej. Ze względu na brak dostępu do drogi publicznej oraz rodzaj nieruchomości przetarg ograniczono do właścicieli nieruchomości sąsiednich, spełniających warunki wynikające z ustawy z dnia 5 sierpnia 2015 roku o kształtowaniu ustroju rolnego. Księga wieczysta nie zawiera wpisów w działach trzecim i czwartym. Więcej informacji odnośnie przetargu można uzyskać pod nr telefonu   089 623-25-91. </w:t>
      </w:r>
    </w:p>
    <w:p w:rsidR="00244AD7" w:rsidRDefault="00244AD7" w:rsidP="00244AD7">
      <w:pPr>
        <w:jc w:val="both"/>
        <w:rPr>
          <w:rFonts w:eastAsia="Times New Roman"/>
          <w:sz w:val="22"/>
          <w:szCs w:val="22"/>
          <w:lang w:eastAsia="ar-SA"/>
        </w:rPr>
      </w:pPr>
      <w:r>
        <w:rPr>
          <w:rFonts w:eastAsia="Times New Roman"/>
          <w:sz w:val="22"/>
          <w:szCs w:val="22"/>
          <w:lang w:eastAsia="ar-SA"/>
        </w:rPr>
        <w:t xml:space="preserve">   </w:t>
      </w:r>
    </w:p>
    <w:p w:rsidR="00244AD7" w:rsidRDefault="00244AD7" w:rsidP="00244AD7">
      <w:pPr>
        <w:jc w:val="both"/>
        <w:rPr>
          <w:rFonts w:eastAsia="Times New Roman"/>
          <w:sz w:val="22"/>
          <w:szCs w:val="22"/>
          <w:u w:val="single"/>
          <w:lang w:eastAsia="ar-SA"/>
        </w:rPr>
      </w:pPr>
      <w:r>
        <w:rPr>
          <w:rFonts w:eastAsia="Times New Roman"/>
          <w:sz w:val="22"/>
          <w:szCs w:val="22"/>
          <w:u w:val="single"/>
          <w:lang w:eastAsia="ar-SA"/>
        </w:rPr>
        <w:t>WARUNKI UCZESTNICTWA W PRZETARGU:</w:t>
      </w:r>
    </w:p>
    <w:p w:rsidR="00244AD7" w:rsidRDefault="00244AD7" w:rsidP="00244AD7">
      <w:pPr>
        <w:numPr>
          <w:ilvl w:val="0"/>
          <w:numId w:val="1"/>
        </w:numPr>
        <w:tabs>
          <w:tab w:val="left" w:pos="2160"/>
        </w:tabs>
        <w:jc w:val="both"/>
        <w:rPr>
          <w:rFonts w:eastAsia="Times New Roman"/>
          <w:sz w:val="22"/>
          <w:szCs w:val="22"/>
          <w:lang w:eastAsia="ar-SA"/>
        </w:rPr>
      </w:pPr>
      <w:r>
        <w:rPr>
          <w:rFonts w:eastAsia="Times New Roman"/>
          <w:sz w:val="22"/>
          <w:szCs w:val="22"/>
          <w:lang w:eastAsia="ar-SA"/>
        </w:rPr>
        <w:t>Wpłata kwoty wadium w wyznaczonym terminie</w:t>
      </w:r>
      <w:r w:rsidR="00764501">
        <w:rPr>
          <w:rFonts w:eastAsia="Times New Roman"/>
          <w:sz w:val="22"/>
          <w:szCs w:val="22"/>
          <w:lang w:eastAsia="ar-SA"/>
        </w:rPr>
        <w:t xml:space="preserve"> i okazanie dowodu wpłaty podczas przetargu</w:t>
      </w:r>
      <w:r>
        <w:rPr>
          <w:rFonts w:eastAsia="Times New Roman"/>
          <w:sz w:val="22"/>
          <w:szCs w:val="22"/>
          <w:lang w:eastAsia="ar-SA"/>
        </w:rPr>
        <w:t>.</w:t>
      </w:r>
    </w:p>
    <w:p w:rsidR="00244AD7" w:rsidRDefault="00FE2870" w:rsidP="00244AD7">
      <w:pPr>
        <w:numPr>
          <w:ilvl w:val="0"/>
          <w:numId w:val="1"/>
        </w:numPr>
        <w:tabs>
          <w:tab w:val="left" w:pos="2160"/>
        </w:tabs>
        <w:jc w:val="both"/>
        <w:rPr>
          <w:rFonts w:eastAsia="Times New Roman"/>
          <w:sz w:val="22"/>
          <w:szCs w:val="22"/>
          <w:lang w:eastAsia="ar-SA"/>
        </w:rPr>
      </w:pPr>
      <w:r>
        <w:rPr>
          <w:rFonts w:eastAsia="Times New Roman"/>
          <w:sz w:val="22"/>
          <w:szCs w:val="22"/>
          <w:lang w:eastAsia="ar-SA"/>
        </w:rPr>
        <w:t xml:space="preserve">Dostarczenie do Urzędu Gminy  Szczytno w terminie do dnia </w:t>
      </w:r>
      <w:r w:rsidR="00CD68DE">
        <w:rPr>
          <w:rFonts w:eastAsia="Times New Roman"/>
          <w:sz w:val="22"/>
          <w:szCs w:val="22"/>
          <w:lang w:eastAsia="ar-SA"/>
        </w:rPr>
        <w:t>19.05.2017 roku</w:t>
      </w:r>
      <w:r>
        <w:rPr>
          <w:rFonts w:eastAsia="Times New Roman"/>
          <w:sz w:val="22"/>
          <w:szCs w:val="22"/>
          <w:lang w:eastAsia="ar-SA"/>
        </w:rPr>
        <w:t xml:space="preserve"> następujących dokumentów:</w:t>
      </w:r>
    </w:p>
    <w:p w:rsidR="00FE2870" w:rsidRDefault="00FE2870" w:rsidP="00FE2870">
      <w:pPr>
        <w:tabs>
          <w:tab w:val="left" w:pos="2160"/>
        </w:tabs>
        <w:ind w:left="720"/>
        <w:jc w:val="both"/>
        <w:rPr>
          <w:rFonts w:eastAsia="Times New Roman"/>
          <w:sz w:val="22"/>
          <w:szCs w:val="22"/>
          <w:lang w:eastAsia="ar-SA"/>
        </w:rPr>
      </w:pPr>
      <w:r>
        <w:rPr>
          <w:rFonts w:eastAsia="Times New Roman"/>
          <w:sz w:val="22"/>
          <w:szCs w:val="22"/>
          <w:lang w:eastAsia="ar-SA"/>
        </w:rPr>
        <w:t>- pisemnego oświadczenia o osobistym prowadzeniu gospodarstwa rolnego,</w:t>
      </w:r>
    </w:p>
    <w:p w:rsidR="00FE2870" w:rsidRDefault="00FE2870" w:rsidP="00FE2870">
      <w:pPr>
        <w:tabs>
          <w:tab w:val="left" w:pos="2160"/>
        </w:tabs>
        <w:ind w:left="720"/>
        <w:jc w:val="both"/>
        <w:rPr>
          <w:rFonts w:eastAsia="Times New Roman"/>
          <w:sz w:val="22"/>
          <w:szCs w:val="22"/>
          <w:lang w:eastAsia="ar-SA"/>
        </w:rPr>
      </w:pPr>
      <w:r>
        <w:rPr>
          <w:rFonts w:eastAsia="Times New Roman"/>
          <w:sz w:val="22"/>
          <w:szCs w:val="22"/>
          <w:lang w:eastAsia="ar-SA"/>
        </w:rPr>
        <w:t>- pisemnego oświadczenia o powierzchni posiadanych użytków rolnych,</w:t>
      </w:r>
    </w:p>
    <w:p w:rsidR="00FE2870" w:rsidRDefault="00FE2870" w:rsidP="00FE2870">
      <w:pPr>
        <w:tabs>
          <w:tab w:val="left" w:pos="2160"/>
        </w:tabs>
        <w:ind w:left="720"/>
        <w:jc w:val="both"/>
        <w:rPr>
          <w:rFonts w:eastAsia="Times New Roman"/>
          <w:sz w:val="22"/>
          <w:szCs w:val="22"/>
          <w:lang w:eastAsia="ar-SA"/>
        </w:rPr>
      </w:pPr>
      <w:r>
        <w:rPr>
          <w:rFonts w:eastAsia="Times New Roman"/>
          <w:sz w:val="22"/>
          <w:szCs w:val="22"/>
          <w:lang w:eastAsia="ar-SA"/>
        </w:rPr>
        <w:t>- pisemnego oświadczenia o posiadanych kwalifikacjach rolniczych zgodnie z art. 4 ust. 2 pkt 2 ustawy z dnia 5 sierpnia 2015 roku o kształtowaniu ustroju rolnego.</w:t>
      </w:r>
    </w:p>
    <w:p w:rsidR="00244AD7" w:rsidRDefault="00244AD7" w:rsidP="00244AD7">
      <w:pPr>
        <w:ind w:left="360"/>
        <w:jc w:val="both"/>
        <w:rPr>
          <w:rFonts w:eastAsia="Times New Roman"/>
          <w:b/>
          <w:bCs/>
          <w:i/>
          <w:sz w:val="22"/>
          <w:szCs w:val="22"/>
          <w:lang w:eastAsia="ar-SA"/>
        </w:rPr>
      </w:pPr>
      <w:r>
        <w:rPr>
          <w:rFonts w:eastAsia="Times New Roman"/>
          <w:i/>
          <w:sz w:val="22"/>
          <w:szCs w:val="22"/>
          <w:lang w:eastAsia="ar-SA"/>
        </w:rPr>
        <w:t xml:space="preserve">Przetarg ustny ograniczony, zostanie przeprowadzony w dniu </w:t>
      </w:r>
      <w:r w:rsidR="00BD23F8" w:rsidRPr="00BD23F8">
        <w:rPr>
          <w:rFonts w:eastAsia="Times New Roman"/>
          <w:b/>
          <w:i/>
          <w:sz w:val="22"/>
          <w:szCs w:val="22"/>
          <w:lang w:eastAsia="ar-SA"/>
        </w:rPr>
        <w:t>2</w:t>
      </w:r>
      <w:r w:rsidR="00FE2870">
        <w:rPr>
          <w:rFonts w:eastAsia="Times New Roman"/>
          <w:b/>
          <w:i/>
          <w:sz w:val="22"/>
          <w:szCs w:val="22"/>
          <w:lang w:eastAsia="ar-SA"/>
        </w:rPr>
        <w:t>4</w:t>
      </w:r>
      <w:r w:rsidRPr="00BD23F8">
        <w:rPr>
          <w:rFonts w:eastAsia="Times New Roman"/>
          <w:b/>
          <w:bCs/>
          <w:i/>
          <w:sz w:val="22"/>
          <w:szCs w:val="22"/>
          <w:lang w:eastAsia="ar-SA"/>
        </w:rPr>
        <w:t>-</w:t>
      </w:r>
      <w:r w:rsidR="00FE2870">
        <w:rPr>
          <w:rFonts w:eastAsia="Times New Roman"/>
          <w:b/>
          <w:bCs/>
          <w:i/>
          <w:sz w:val="22"/>
          <w:szCs w:val="22"/>
          <w:lang w:eastAsia="ar-SA"/>
        </w:rPr>
        <w:t>05</w:t>
      </w:r>
      <w:r>
        <w:rPr>
          <w:rFonts w:eastAsia="Times New Roman"/>
          <w:b/>
          <w:bCs/>
          <w:i/>
          <w:sz w:val="22"/>
          <w:szCs w:val="22"/>
          <w:lang w:eastAsia="ar-SA"/>
        </w:rPr>
        <w:t>-201</w:t>
      </w:r>
      <w:r w:rsidR="00FE2870">
        <w:rPr>
          <w:rFonts w:eastAsia="Times New Roman"/>
          <w:b/>
          <w:bCs/>
          <w:i/>
          <w:sz w:val="22"/>
          <w:szCs w:val="22"/>
          <w:lang w:eastAsia="ar-SA"/>
        </w:rPr>
        <w:t>7</w:t>
      </w:r>
      <w:r>
        <w:rPr>
          <w:rFonts w:eastAsia="Times New Roman"/>
          <w:b/>
          <w:bCs/>
          <w:i/>
          <w:sz w:val="22"/>
          <w:szCs w:val="22"/>
          <w:lang w:eastAsia="ar-SA"/>
        </w:rPr>
        <w:t xml:space="preserve"> r.  – w sali konferencyjnej Urzędu Gminy Szczytno, </w:t>
      </w:r>
    </w:p>
    <w:p w:rsidR="00244AD7" w:rsidRDefault="00244AD7" w:rsidP="00244AD7">
      <w:pPr>
        <w:jc w:val="center"/>
        <w:rPr>
          <w:rFonts w:eastAsia="Times New Roman"/>
          <w:b/>
          <w:bCs/>
          <w:i/>
          <w:sz w:val="22"/>
          <w:szCs w:val="22"/>
          <w:u w:val="single"/>
          <w:vertAlign w:val="superscript"/>
          <w:lang w:eastAsia="ar-SA"/>
        </w:rPr>
      </w:pPr>
      <w:r>
        <w:rPr>
          <w:rFonts w:eastAsia="Times New Roman"/>
          <w:b/>
          <w:bCs/>
          <w:i/>
          <w:sz w:val="22"/>
          <w:szCs w:val="22"/>
          <w:lang w:eastAsia="ar-SA"/>
        </w:rPr>
        <w:t>ul. Łomżyńska 3,  12-100 Szczytno, godz. 10</w:t>
      </w:r>
      <w:r>
        <w:rPr>
          <w:rFonts w:eastAsia="Times New Roman"/>
          <w:b/>
          <w:bCs/>
          <w:i/>
          <w:sz w:val="22"/>
          <w:szCs w:val="22"/>
          <w:u w:val="single"/>
          <w:vertAlign w:val="superscript"/>
          <w:lang w:eastAsia="ar-SA"/>
        </w:rPr>
        <w:t>00</w:t>
      </w:r>
    </w:p>
    <w:p w:rsidR="008354FA" w:rsidRDefault="008354FA" w:rsidP="00244AD7">
      <w:pPr>
        <w:jc w:val="both"/>
        <w:rPr>
          <w:rFonts w:eastAsia="Times New Roman"/>
          <w:sz w:val="22"/>
          <w:szCs w:val="22"/>
          <w:lang w:eastAsia="ar-SA"/>
        </w:rPr>
      </w:pPr>
    </w:p>
    <w:p w:rsidR="00244AD7" w:rsidRDefault="00244AD7" w:rsidP="00244AD7">
      <w:pPr>
        <w:jc w:val="both"/>
        <w:rPr>
          <w:rFonts w:eastAsia="Times New Roman"/>
          <w:sz w:val="22"/>
          <w:szCs w:val="22"/>
          <w:lang w:eastAsia="ar-SA"/>
        </w:rPr>
      </w:pPr>
      <w:r>
        <w:rPr>
          <w:rFonts w:eastAsia="Times New Roman"/>
          <w:sz w:val="22"/>
          <w:szCs w:val="22"/>
          <w:lang w:eastAsia="ar-SA"/>
        </w:rPr>
        <w:t xml:space="preserve">Osoby zainteresowane uczestnictwem w przetargu ustnym ograniczonym zobowiązane są do </w:t>
      </w:r>
    </w:p>
    <w:p w:rsidR="00244AD7" w:rsidRPr="002B35BE" w:rsidRDefault="00244AD7" w:rsidP="00244AD7">
      <w:pPr>
        <w:numPr>
          <w:ilvl w:val="0"/>
          <w:numId w:val="2"/>
        </w:numPr>
        <w:tabs>
          <w:tab w:val="left" w:pos="2160"/>
        </w:tabs>
        <w:jc w:val="both"/>
        <w:rPr>
          <w:rFonts w:eastAsia="Times New Roman"/>
          <w:b/>
          <w:bCs/>
          <w:sz w:val="20"/>
          <w:szCs w:val="20"/>
          <w:lang w:eastAsia="ar-SA"/>
        </w:rPr>
      </w:pPr>
      <w:r w:rsidRPr="002B35BE">
        <w:rPr>
          <w:rFonts w:eastAsia="Times New Roman"/>
          <w:b/>
          <w:bCs/>
          <w:sz w:val="20"/>
          <w:szCs w:val="20"/>
          <w:lang w:eastAsia="ar-SA"/>
        </w:rPr>
        <w:t xml:space="preserve">wpłacenia </w:t>
      </w:r>
      <w:r w:rsidR="005D0BED">
        <w:rPr>
          <w:rFonts w:eastAsia="Times New Roman"/>
          <w:b/>
          <w:bCs/>
          <w:sz w:val="20"/>
          <w:szCs w:val="20"/>
          <w:lang w:eastAsia="ar-SA"/>
        </w:rPr>
        <w:t xml:space="preserve"> </w:t>
      </w:r>
      <w:r w:rsidRPr="002B35BE">
        <w:rPr>
          <w:rFonts w:eastAsia="Times New Roman"/>
          <w:b/>
          <w:bCs/>
          <w:sz w:val="20"/>
          <w:szCs w:val="20"/>
          <w:lang w:eastAsia="ar-SA"/>
        </w:rPr>
        <w:t>w</w:t>
      </w:r>
      <w:r w:rsidR="005D0BED">
        <w:rPr>
          <w:rFonts w:eastAsia="Times New Roman"/>
          <w:b/>
          <w:bCs/>
          <w:sz w:val="20"/>
          <w:szCs w:val="20"/>
          <w:lang w:eastAsia="ar-SA"/>
        </w:rPr>
        <w:t xml:space="preserve"> </w:t>
      </w:r>
      <w:r w:rsidRPr="002B35BE">
        <w:rPr>
          <w:rFonts w:eastAsia="Times New Roman"/>
          <w:b/>
          <w:bCs/>
          <w:sz w:val="20"/>
          <w:szCs w:val="20"/>
          <w:lang w:eastAsia="ar-SA"/>
        </w:rPr>
        <w:t xml:space="preserve"> terminie </w:t>
      </w:r>
      <w:r w:rsidR="005D0BED">
        <w:rPr>
          <w:rFonts w:eastAsia="Times New Roman"/>
          <w:b/>
          <w:bCs/>
          <w:sz w:val="20"/>
          <w:szCs w:val="20"/>
          <w:lang w:eastAsia="ar-SA"/>
        </w:rPr>
        <w:t xml:space="preserve"> </w:t>
      </w:r>
      <w:r w:rsidRPr="002B35BE">
        <w:rPr>
          <w:rFonts w:eastAsia="Times New Roman"/>
          <w:b/>
          <w:bCs/>
          <w:sz w:val="20"/>
          <w:szCs w:val="20"/>
          <w:lang w:eastAsia="ar-SA"/>
        </w:rPr>
        <w:t xml:space="preserve">do </w:t>
      </w:r>
      <w:r w:rsidR="005D0BED">
        <w:rPr>
          <w:rFonts w:eastAsia="Times New Roman"/>
          <w:b/>
          <w:bCs/>
          <w:sz w:val="20"/>
          <w:szCs w:val="20"/>
          <w:lang w:eastAsia="ar-SA"/>
        </w:rPr>
        <w:t xml:space="preserve"> </w:t>
      </w:r>
      <w:r w:rsidRPr="002B35BE">
        <w:rPr>
          <w:rFonts w:eastAsia="Times New Roman"/>
          <w:b/>
          <w:bCs/>
          <w:sz w:val="20"/>
          <w:szCs w:val="20"/>
          <w:lang w:eastAsia="ar-SA"/>
        </w:rPr>
        <w:t>dnia</w:t>
      </w:r>
      <w:r w:rsidR="005D0BED">
        <w:rPr>
          <w:rFonts w:eastAsia="Times New Roman"/>
          <w:b/>
          <w:bCs/>
          <w:sz w:val="20"/>
          <w:szCs w:val="20"/>
          <w:lang w:eastAsia="ar-SA"/>
        </w:rPr>
        <w:t xml:space="preserve"> </w:t>
      </w:r>
      <w:r w:rsidRPr="002B35BE">
        <w:rPr>
          <w:rFonts w:eastAsia="Times New Roman"/>
          <w:b/>
          <w:bCs/>
          <w:sz w:val="20"/>
          <w:szCs w:val="20"/>
          <w:lang w:eastAsia="ar-SA"/>
        </w:rPr>
        <w:t xml:space="preserve"> </w:t>
      </w:r>
      <w:r w:rsidR="00FE2870">
        <w:rPr>
          <w:rFonts w:eastAsia="Times New Roman"/>
          <w:b/>
          <w:bCs/>
          <w:sz w:val="20"/>
          <w:szCs w:val="20"/>
          <w:lang w:eastAsia="ar-SA"/>
        </w:rPr>
        <w:t>19</w:t>
      </w:r>
      <w:r w:rsidRPr="002B35BE">
        <w:rPr>
          <w:rFonts w:eastAsia="Times New Roman"/>
          <w:b/>
          <w:bCs/>
          <w:sz w:val="20"/>
          <w:szCs w:val="20"/>
          <w:lang w:eastAsia="ar-SA"/>
        </w:rPr>
        <w:t>-</w:t>
      </w:r>
      <w:r w:rsidR="00FE2870">
        <w:rPr>
          <w:rFonts w:eastAsia="Times New Roman"/>
          <w:b/>
          <w:bCs/>
          <w:sz w:val="20"/>
          <w:szCs w:val="20"/>
          <w:lang w:eastAsia="ar-SA"/>
        </w:rPr>
        <w:t>05</w:t>
      </w:r>
      <w:r w:rsidRPr="002B35BE">
        <w:rPr>
          <w:rFonts w:eastAsia="Times New Roman"/>
          <w:b/>
          <w:bCs/>
          <w:sz w:val="20"/>
          <w:szCs w:val="20"/>
          <w:lang w:eastAsia="ar-SA"/>
        </w:rPr>
        <w:t>-201</w:t>
      </w:r>
      <w:r w:rsidR="00FE2870">
        <w:rPr>
          <w:rFonts w:eastAsia="Times New Roman"/>
          <w:b/>
          <w:bCs/>
          <w:sz w:val="20"/>
          <w:szCs w:val="20"/>
          <w:lang w:eastAsia="ar-SA"/>
        </w:rPr>
        <w:t>7</w:t>
      </w:r>
      <w:r w:rsidRPr="002B35BE">
        <w:rPr>
          <w:rFonts w:eastAsia="Times New Roman"/>
          <w:b/>
          <w:bCs/>
          <w:sz w:val="20"/>
          <w:szCs w:val="20"/>
          <w:lang w:eastAsia="ar-SA"/>
        </w:rPr>
        <w:t xml:space="preserve"> r. </w:t>
      </w:r>
      <w:r w:rsidR="005D0BED">
        <w:rPr>
          <w:rFonts w:eastAsia="Times New Roman"/>
          <w:b/>
          <w:bCs/>
          <w:sz w:val="20"/>
          <w:szCs w:val="20"/>
          <w:lang w:eastAsia="ar-SA"/>
        </w:rPr>
        <w:t xml:space="preserve"> </w:t>
      </w:r>
      <w:r w:rsidRPr="002B35BE">
        <w:rPr>
          <w:rFonts w:eastAsia="Times New Roman"/>
          <w:b/>
          <w:bCs/>
          <w:sz w:val="20"/>
          <w:szCs w:val="20"/>
          <w:lang w:eastAsia="ar-SA"/>
        </w:rPr>
        <w:t>wadium</w:t>
      </w:r>
      <w:r w:rsidR="005D0BED">
        <w:rPr>
          <w:rFonts w:eastAsia="Times New Roman"/>
          <w:b/>
          <w:bCs/>
          <w:sz w:val="20"/>
          <w:szCs w:val="20"/>
          <w:lang w:eastAsia="ar-SA"/>
        </w:rPr>
        <w:t xml:space="preserve"> </w:t>
      </w:r>
      <w:r w:rsidRPr="002B35BE">
        <w:rPr>
          <w:rFonts w:eastAsia="Times New Roman"/>
          <w:b/>
          <w:bCs/>
          <w:sz w:val="20"/>
          <w:szCs w:val="20"/>
          <w:lang w:eastAsia="ar-SA"/>
        </w:rPr>
        <w:t xml:space="preserve"> w</w:t>
      </w:r>
      <w:r w:rsidR="005D0BED">
        <w:rPr>
          <w:rFonts w:eastAsia="Times New Roman"/>
          <w:b/>
          <w:bCs/>
          <w:sz w:val="20"/>
          <w:szCs w:val="20"/>
          <w:lang w:eastAsia="ar-SA"/>
        </w:rPr>
        <w:t xml:space="preserve"> </w:t>
      </w:r>
      <w:r w:rsidRPr="002B35BE">
        <w:rPr>
          <w:rFonts w:eastAsia="Times New Roman"/>
          <w:b/>
          <w:bCs/>
          <w:sz w:val="20"/>
          <w:szCs w:val="20"/>
          <w:lang w:eastAsia="ar-SA"/>
        </w:rPr>
        <w:t xml:space="preserve"> kwocie podanej w powyższej tabeli</w:t>
      </w:r>
      <w:r w:rsidR="00FE2870">
        <w:rPr>
          <w:rFonts w:eastAsia="Times New Roman"/>
          <w:b/>
          <w:bCs/>
          <w:sz w:val="20"/>
          <w:szCs w:val="20"/>
          <w:lang w:eastAsia="ar-SA"/>
        </w:rPr>
        <w:t xml:space="preserve"> oraz dostarczenia wymaganych, wymienionych powyżej oświadczeń</w:t>
      </w:r>
      <w:r w:rsidRPr="002B35BE">
        <w:rPr>
          <w:rFonts w:eastAsia="Times New Roman"/>
          <w:b/>
          <w:bCs/>
          <w:sz w:val="20"/>
          <w:szCs w:val="20"/>
          <w:lang w:eastAsia="ar-SA"/>
        </w:rPr>
        <w:t xml:space="preserve">. Wpłata wadium na konto: Bank  Spółdzielczy w  Szczytnie, nr konta </w:t>
      </w:r>
      <w:r w:rsidRPr="002B35BE">
        <w:rPr>
          <w:rFonts w:eastAsia="Times New Roman"/>
          <w:b/>
          <w:sz w:val="20"/>
          <w:szCs w:val="20"/>
          <w:lang w:eastAsia="ar-SA"/>
        </w:rPr>
        <w:t xml:space="preserve">79 8838 0005 2001 0000 1661 0005 – z dopiskiem: przetarg ograniczony </w:t>
      </w:r>
      <w:r w:rsidR="00FE2870">
        <w:rPr>
          <w:rFonts w:eastAsia="Times New Roman"/>
          <w:b/>
          <w:sz w:val="20"/>
          <w:szCs w:val="20"/>
          <w:lang w:eastAsia="ar-SA"/>
        </w:rPr>
        <w:t>Gawrzyjałki</w:t>
      </w:r>
      <w:r w:rsidRPr="002B35BE">
        <w:rPr>
          <w:rFonts w:eastAsia="Times New Roman"/>
          <w:b/>
          <w:sz w:val="20"/>
          <w:szCs w:val="20"/>
          <w:lang w:eastAsia="ar-SA"/>
        </w:rPr>
        <w:t xml:space="preserve">. </w:t>
      </w:r>
      <w:r w:rsidRPr="002B35BE">
        <w:rPr>
          <w:rFonts w:eastAsia="Times New Roman"/>
          <w:b/>
          <w:bCs/>
          <w:sz w:val="20"/>
          <w:szCs w:val="20"/>
          <w:lang w:eastAsia="ar-SA"/>
        </w:rPr>
        <w:tab/>
      </w:r>
    </w:p>
    <w:p w:rsidR="00244AD7" w:rsidRDefault="00244AD7" w:rsidP="00244AD7">
      <w:pPr>
        <w:pStyle w:val="Tekstpodstawowy31"/>
        <w:rPr>
          <w:rFonts w:eastAsia="Times New Roman"/>
          <w:b/>
          <w:sz w:val="20"/>
          <w:szCs w:val="20"/>
          <w:lang w:eastAsia="ar-SA"/>
        </w:rPr>
      </w:pPr>
      <w:r>
        <w:rPr>
          <w:rFonts w:eastAsia="Times New Roman"/>
          <w:b/>
          <w:sz w:val="20"/>
          <w:szCs w:val="20"/>
          <w:lang w:eastAsia="ar-SA"/>
        </w:rPr>
        <w:t xml:space="preserve">Nabywca nieruchomości zostanie zawiadomiony o miejscu i terminie zawarcia umowy notarialnej najpóźniej w ciągu 21 dni od daty rozstrzygnięcia przetargu. Jeżeli nabywca nieruchomości  nie stawi się bez  usprawiedliwienia  w Kancelarii Notarialnej w oznaczonym terminie, wówczas odstępujemy od zawarcia umowy, a wpłacone wadium ulega przepadkowi. </w:t>
      </w:r>
    </w:p>
    <w:p w:rsidR="00244AD7" w:rsidRDefault="00244AD7" w:rsidP="00244AD7">
      <w:pPr>
        <w:pStyle w:val="Tekstpodstawowy31"/>
        <w:rPr>
          <w:rFonts w:eastAsia="Times New Roman"/>
          <w:b/>
          <w:i/>
          <w:iCs/>
          <w:sz w:val="20"/>
          <w:szCs w:val="20"/>
          <w:lang w:eastAsia="ar-SA"/>
        </w:rPr>
      </w:pPr>
      <w:r>
        <w:rPr>
          <w:rFonts w:eastAsia="Times New Roman"/>
          <w:b/>
          <w:i/>
          <w:iCs/>
          <w:sz w:val="20"/>
          <w:szCs w:val="20"/>
          <w:lang w:eastAsia="ar-SA"/>
        </w:rPr>
        <w:t>Koszty zawarcia umowy notarialnej pokrywa nabywca. Osobom, które przetargu  nie wygrają wadium zostanie zwrócone w terminie nieprzekraczającym 3 dni roboczych.</w:t>
      </w:r>
    </w:p>
    <w:p w:rsidR="00244AD7" w:rsidRDefault="00244AD7" w:rsidP="00244AD7">
      <w:pPr>
        <w:jc w:val="both"/>
        <w:rPr>
          <w:rFonts w:eastAsia="Times New Roman"/>
          <w:b/>
          <w:i/>
          <w:iCs/>
          <w:sz w:val="20"/>
          <w:szCs w:val="20"/>
          <w:lang w:eastAsia="ar-SA"/>
        </w:rPr>
      </w:pPr>
      <w:r>
        <w:rPr>
          <w:rFonts w:eastAsia="Times New Roman"/>
          <w:b/>
          <w:i/>
          <w:iCs/>
          <w:sz w:val="20"/>
          <w:szCs w:val="20"/>
          <w:lang w:eastAsia="ar-SA"/>
        </w:rPr>
        <w:t>Wójt Gminy Szczytno zastrzega sobie prawo odwołania przetargu z uzasadnionej przyczyny.</w:t>
      </w:r>
    </w:p>
    <w:p w:rsidR="00244AD7" w:rsidRDefault="00244AD7" w:rsidP="00244AD7">
      <w:pPr>
        <w:jc w:val="both"/>
        <w:rPr>
          <w:rFonts w:eastAsia="Times New Roman"/>
          <w:sz w:val="20"/>
          <w:szCs w:val="20"/>
          <w:lang w:eastAsia="ar-SA"/>
        </w:rPr>
      </w:pPr>
      <w:r>
        <w:rPr>
          <w:rFonts w:eastAsia="Times New Roman"/>
          <w:b/>
          <w:bCs/>
          <w:i/>
          <w:iCs/>
          <w:sz w:val="20"/>
          <w:szCs w:val="20"/>
          <w:lang w:eastAsia="ar-SA"/>
        </w:rPr>
        <w:t>Wszelkie dodatkowe informacje są udzielane pod nr telefonu: (089) 623-25-91.</w:t>
      </w:r>
      <w:r>
        <w:rPr>
          <w:rFonts w:eastAsia="Times New Roman"/>
          <w:sz w:val="20"/>
          <w:szCs w:val="20"/>
          <w:lang w:eastAsia="ar-SA"/>
        </w:rPr>
        <w:t xml:space="preserve">    </w:t>
      </w:r>
    </w:p>
    <w:p w:rsidR="00EF0C8E" w:rsidRDefault="00EF0C8E"/>
    <w:p w:rsidR="00DD1DB5" w:rsidRDefault="00DD1DB5">
      <w:bookmarkStart w:id="0" w:name="_GoBack"/>
      <w:bookmarkEnd w:id="0"/>
    </w:p>
    <w:p w:rsidR="00DD1DB5" w:rsidRDefault="00DD1DB5" w:rsidP="00DD1DB5">
      <w:pPr>
        <w:jc w:val="both"/>
        <w:rPr>
          <w:rFonts w:eastAsia="Times New Roman"/>
          <w:bCs/>
          <w:iCs/>
          <w:kern w:val="3"/>
          <w:sz w:val="20"/>
          <w:szCs w:val="20"/>
          <w:lang w:eastAsia="ar-SA"/>
        </w:rPr>
      </w:pPr>
      <w:r>
        <w:rPr>
          <w:rFonts w:eastAsia="Times New Roman"/>
          <w:bCs/>
          <w:iCs/>
          <w:sz w:val="20"/>
          <w:szCs w:val="20"/>
          <w:lang w:eastAsia="ar-SA"/>
        </w:rPr>
        <w:t>Sporządził: Krzysztof Szydlik</w:t>
      </w:r>
    </w:p>
    <w:p w:rsidR="00DD1DB5" w:rsidRDefault="00DD1DB5" w:rsidP="00DD1DB5">
      <w:pPr>
        <w:jc w:val="both"/>
        <w:rPr>
          <w:rFonts w:eastAsia="Times New Roman"/>
          <w:bCs/>
          <w:iCs/>
          <w:sz w:val="20"/>
          <w:szCs w:val="20"/>
          <w:lang w:eastAsia="ar-SA"/>
        </w:rPr>
      </w:pPr>
      <w:r>
        <w:rPr>
          <w:rFonts w:eastAsia="Times New Roman"/>
          <w:bCs/>
          <w:iCs/>
          <w:sz w:val="20"/>
          <w:szCs w:val="20"/>
          <w:lang w:eastAsia="ar-SA"/>
        </w:rPr>
        <w:t xml:space="preserve">Zatwierdził: Sławomir Wojciechowski – Wójt Gminy Szczytno </w:t>
      </w:r>
    </w:p>
    <w:p w:rsidR="00DD1DB5" w:rsidRDefault="00DD1DB5"/>
    <w:sectPr w:rsidR="00DD1DB5" w:rsidSect="008354FA">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3A"/>
    <w:rsid w:val="00244AD7"/>
    <w:rsid w:val="00421782"/>
    <w:rsid w:val="005D0BED"/>
    <w:rsid w:val="00721952"/>
    <w:rsid w:val="00764501"/>
    <w:rsid w:val="008354FA"/>
    <w:rsid w:val="0095653A"/>
    <w:rsid w:val="00987A17"/>
    <w:rsid w:val="00BD23F8"/>
    <w:rsid w:val="00CD68DE"/>
    <w:rsid w:val="00DD1DB5"/>
    <w:rsid w:val="00EF0C8E"/>
    <w:rsid w:val="00F54E2E"/>
    <w:rsid w:val="00FE2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511B3-E251-430B-A304-72007D4B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4AD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244AD7"/>
    <w:pPr>
      <w:keepNext/>
      <w:jc w:val="right"/>
      <w:outlineLvl w:val="0"/>
    </w:pPr>
    <w:rPr>
      <w:sz w:val="28"/>
    </w:rPr>
  </w:style>
  <w:style w:type="paragraph" w:styleId="Nagwek2">
    <w:name w:val="heading 2"/>
    <w:basedOn w:val="Normalny"/>
    <w:next w:val="Normalny"/>
    <w:link w:val="Nagwek2Znak"/>
    <w:semiHidden/>
    <w:unhideWhenUsed/>
    <w:qFormat/>
    <w:rsid w:val="00244AD7"/>
    <w:pPr>
      <w:keepNext/>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4AD7"/>
    <w:rPr>
      <w:rFonts w:ascii="Times New Roman" w:eastAsia="Andale Sans UI" w:hAnsi="Times New Roman" w:cs="Times New Roman"/>
      <w:kern w:val="2"/>
      <w:sz w:val="28"/>
      <w:szCs w:val="24"/>
      <w:lang w:eastAsia="pl-PL"/>
    </w:rPr>
  </w:style>
  <w:style w:type="character" w:customStyle="1" w:styleId="Nagwek2Znak">
    <w:name w:val="Nagłówek 2 Znak"/>
    <w:basedOn w:val="Domylnaczcionkaakapitu"/>
    <w:link w:val="Nagwek2"/>
    <w:semiHidden/>
    <w:rsid w:val="00244AD7"/>
    <w:rPr>
      <w:rFonts w:ascii="Times New Roman" w:eastAsia="Andale Sans UI" w:hAnsi="Times New Roman" w:cs="Times New Roman"/>
      <w:kern w:val="2"/>
      <w:sz w:val="28"/>
      <w:szCs w:val="24"/>
      <w:lang w:eastAsia="pl-PL"/>
    </w:rPr>
  </w:style>
  <w:style w:type="paragraph" w:customStyle="1" w:styleId="Zawartotabeli">
    <w:name w:val="Zawartość tabeli"/>
    <w:basedOn w:val="Normalny"/>
    <w:rsid w:val="00244AD7"/>
    <w:pPr>
      <w:suppressLineNumbers/>
    </w:pPr>
  </w:style>
  <w:style w:type="paragraph" w:customStyle="1" w:styleId="Tekstpodstawowy31">
    <w:name w:val="Tekst podstawowy 31"/>
    <w:basedOn w:val="Normalny"/>
    <w:rsid w:val="00244AD7"/>
    <w:pPr>
      <w:jc w:val="both"/>
    </w:pPr>
    <w:rPr>
      <w:rFonts w:eastAsia="Arial Unicode MS"/>
      <w:kern w:val="1"/>
    </w:rPr>
  </w:style>
  <w:style w:type="paragraph" w:styleId="Tekstdymka">
    <w:name w:val="Balloon Text"/>
    <w:basedOn w:val="Normalny"/>
    <w:link w:val="TekstdymkaZnak"/>
    <w:uiPriority w:val="99"/>
    <w:semiHidden/>
    <w:unhideWhenUsed/>
    <w:rsid w:val="005D0B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BED"/>
    <w:rPr>
      <w:rFonts w:ascii="Segoe UI" w:eastAsia="Andale Sans UI" w:hAnsi="Segoe UI" w:cs="Segoe UI"/>
      <w:kern w:val="2"/>
      <w:sz w:val="18"/>
      <w:szCs w:val="18"/>
      <w:lang w:eastAsia="pl-PL"/>
    </w:rPr>
  </w:style>
  <w:style w:type="paragraph" w:styleId="Tekstpodstawowy">
    <w:name w:val="Body Text"/>
    <w:basedOn w:val="Normalny"/>
    <w:link w:val="TekstpodstawowyZnak"/>
    <w:rsid w:val="00721952"/>
    <w:pPr>
      <w:spacing w:after="120"/>
    </w:pPr>
    <w:rPr>
      <w:kern w:val="1"/>
      <w:lang w:eastAsia="en-US"/>
    </w:rPr>
  </w:style>
  <w:style w:type="character" w:customStyle="1" w:styleId="TekstpodstawowyZnak">
    <w:name w:val="Tekst podstawowy Znak"/>
    <w:basedOn w:val="Domylnaczcionkaakapitu"/>
    <w:link w:val="Tekstpodstawowy"/>
    <w:rsid w:val="00721952"/>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470</Words>
  <Characters>2826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2017-04-12T10:34:00Z</cp:lastPrinted>
  <dcterms:created xsi:type="dcterms:W3CDTF">2016-10-13T08:48:00Z</dcterms:created>
  <dcterms:modified xsi:type="dcterms:W3CDTF">2017-04-21T06:14:00Z</dcterms:modified>
</cp:coreProperties>
</file>