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BD" w:rsidRPr="00DC63BD" w:rsidRDefault="00534979" w:rsidP="00DC63BD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</w:t>
      </w:r>
      <w:r w:rsidR="00DC63BD" w:rsidRPr="00DC63BD">
        <w:rPr>
          <w:rFonts w:eastAsia="Times New Roman"/>
          <w:sz w:val="24"/>
          <w:lang w:eastAsia="ar-SA"/>
        </w:rPr>
        <w:t xml:space="preserve">RR.MK.6840.6.2015.2016                                             </w:t>
      </w:r>
      <w:r w:rsidR="00DC63BD">
        <w:rPr>
          <w:rFonts w:eastAsia="Times New Roman"/>
          <w:sz w:val="24"/>
          <w:lang w:eastAsia="ar-SA"/>
        </w:rPr>
        <w:t xml:space="preserve">                          </w:t>
      </w:r>
      <w:r w:rsidR="00DC63BD" w:rsidRPr="00DC63BD">
        <w:rPr>
          <w:rFonts w:eastAsia="Times New Roman"/>
          <w:sz w:val="24"/>
          <w:lang w:eastAsia="ar-SA"/>
        </w:rPr>
        <w:t xml:space="preserve">                                                                    Szczytno dnia,  01.09.2016 r.</w:t>
      </w:r>
    </w:p>
    <w:p w:rsidR="00DC63BD" w:rsidRDefault="00DC63BD" w:rsidP="00DC63BD">
      <w:pPr>
        <w:pStyle w:val="Nagwek2"/>
        <w:tabs>
          <w:tab w:val="left" w:pos="0"/>
        </w:tabs>
      </w:pPr>
      <w:r>
        <w:t>Wykaz nieruchomości lokalowej przeznaczonej do sprzedaży wraz z udziałem w prawie użytkowania wieczystego gruntu</w:t>
      </w:r>
    </w:p>
    <w:p w:rsidR="00DC63BD" w:rsidRPr="00E73BE7" w:rsidRDefault="00DC63BD" w:rsidP="00DC63BD">
      <w:pPr>
        <w:rPr>
          <w:sz w:val="22"/>
          <w:szCs w:val="22"/>
        </w:rPr>
      </w:pPr>
      <w:r w:rsidRPr="00E73BE7">
        <w:rPr>
          <w:sz w:val="22"/>
          <w:szCs w:val="22"/>
        </w:rPr>
        <w:t>Na podstawie art. 35 ust 1 ustawy z dnia 21 sierpnia 1997 r. o gospodarce nieruchomościami (j. t. Dz. U. z 2015 r., poz. 782 z późn. zm.),</w:t>
      </w:r>
    </w:p>
    <w:p w:rsidR="00DC63BD" w:rsidRPr="00E73BE7" w:rsidRDefault="00DC63BD" w:rsidP="00DC63BD">
      <w:pPr>
        <w:jc w:val="center"/>
        <w:rPr>
          <w:rFonts w:eastAsia="Times New Roman"/>
          <w:sz w:val="22"/>
          <w:szCs w:val="22"/>
          <w:lang w:eastAsia="ar-SA"/>
        </w:rPr>
      </w:pPr>
      <w:r w:rsidRPr="00E73BE7"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559"/>
        <w:gridCol w:w="1276"/>
        <w:gridCol w:w="1559"/>
        <w:gridCol w:w="1559"/>
        <w:gridCol w:w="2517"/>
      </w:tblGrid>
      <w:tr w:rsidR="00DC63BD" w:rsidTr="00E73BE7">
        <w:trPr>
          <w:trHeight w:val="968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DC63BD" w:rsidRPr="00DC63BD" w:rsidRDefault="00DC63BD" w:rsidP="00DC63BD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DC63BD" w:rsidRPr="00DC63BD" w:rsidRDefault="00DC63BD" w:rsidP="00DC63BD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C63BD" w:rsidRDefault="00DC63BD" w:rsidP="00DC63BD">
            <w:pPr>
              <w:jc w:val="center"/>
              <w:rPr>
                <w:b/>
                <w:sz w:val="22"/>
                <w:szCs w:val="22"/>
              </w:rPr>
            </w:pPr>
          </w:p>
          <w:p w:rsidR="00DC63BD" w:rsidRPr="00DC63BD" w:rsidRDefault="00DC63BD" w:rsidP="00DC63BD">
            <w:pPr>
              <w:jc w:val="center"/>
              <w:rPr>
                <w:b/>
                <w:sz w:val="22"/>
                <w:szCs w:val="22"/>
              </w:rPr>
            </w:pPr>
            <w:r w:rsidRPr="00DC63BD"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Wartość lokalu mieszkalnego  w zł.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Wartość udziału w gruncie</w:t>
            </w:r>
          </w:p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 zł.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Wartość opłaty rocznej z tyt. użytkowania wieczystego w zł.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517" w:type="dxa"/>
            <w:vMerge w:val="restart"/>
            <w:shd w:val="clear" w:color="auto" w:fill="BFBFBF" w:themeFill="background1" w:themeFillShade="BF"/>
            <w:vAlign w:val="center"/>
          </w:tcPr>
          <w:p w:rsidR="00DC63BD" w:rsidRP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DC63BD" w:rsidTr="00E73BE7">
        <w:trPr>
          <w:trHeight w:val="615"/>
        </w:trPr>
        <w:tc>
          <w:tcPr>
            <w:tcW w:w="704" w:type="dxa"/>
            <w:vMerge/>
            <w:vAlign w:val="center"/>
          </w:tcPr>
          <w:p w:rsidR="00DC63BD" w:rsidRPr="00DC63BD" w:rsidRDefault="00DC63BD" w:rsidP="00DC63BD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DC63BD" w:rsidRP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C63BD" w:rsidRDefault="00DC63BD" w:rsidP="00DC63BD">
            <w:pPr>
              <w:jc w:val="center"/>
              <w:rPr>
                <w:b/>
                <w:sz w:val="22"/>
                <w:szCs w:val="22"/>
              </w:rPr>
            </w:pPr>
          </w:p>
          <w:p w:rsidR="00DC63BD" w:rsidRPr="00DC63BD" w:rsidRDefault="00DC63BD" w:rsidP="00DC63BD">
            <w:pPr>
              <w:jc w:val="center"/>
              <w:rPr>
                <w:b/>
                <w:sz w:val="22"/>
                <w:szCs w:val="22"/>
              </w:rPr>
            </w:pPr>
            <w:r w:rsidRPr="00DC63BD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993" w:type="dxa"/>
            <w:vMerge/>
            <w:vAlign w:val="center"/>
          </w:tcPr>
          <w:p w:rsidR="00DC63BD" w:rsidRP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517" w:type="dxa"/>
            <w:vMerge/>
            <w:vAlign w:val="center"/>
          </w:tcPr>
          <w:p w:rsidR="00DC63BD" w:rsidRP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  <w:tr w:rsidR="00DC63BD" w:rsidTr="00E73BE7">
        <w:trPr>
          <w:trHeight w:val="837"/>
        </w:trPr>
        <w:tc>
          <w:tcPr>
            <w:tcW w:w="704" w:type="dxa"/>
            <w:vMerge w:val="restart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:rsidR="00DC63BD" w:rsidRP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OL1S/00027878/6</w:t>
            </w:r>
          </w:p>
        </w:tc>
        <w:tc>
          <w:tcPr>
            <w:tcW w:w="1559" w:type="dxa"/>
          </w:tcPr>
          <w:p w:rsidR="00DC63BD" w:rsidRPr="00E73BE7" w:rsidRDefault="00DC63BD" w:rsidP="00DC63BD">
            <w:pPr>
              <w:jc w:val="center"/>
              <w:rPr>
                <w:sz w:val="22"/>
                <w:szCs w:val="22"/>
              </w:rPr>
            </w:pPr>
          </w:p>
          <w:p w:rsidR="00DC63BD" w:rsidRPr="00E73BE7" w:rsidRDefault="00DC63BD" w:rsidP="00DC63BD">
            <w:pPr>
              <w:jc w:val="center"/>
              <w:rPr>
                <w:sz w:val="22"/>
                <w:szCs w:val="22"/>
              </w:rPr>
            </w:pPr>
            <w:r w:rsidRPr="00E73BE7">
              <w:rPr>
                <w:sz w:val="22"/>
                <w:szCs w:val="22"/>
              </w:rPr>
              <w:t>Lipowa Góra Zachodnia</w:t>
            </w:r>
          </w:p>
        </w:tc>
        <w:tc>
          <w:tcPr>
            <w:tcW w:w="993" w:type="dxa"/>
            <w:vMerge w:val="restart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262/1</w:t>
            </w:r>
          </w:p>
        </w:tc>
        <w:tc>
          <w:tcPr>
            <w:tcW w:w="1134" w:type="dxa"/>
            <w:vMerge w:val="restart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0,1924</w:t>
            </w:r>
          </w:p>
        </w:tc>
        <w:tc>
          <w:tcPr>
            <w:tcW w:w="1559" w:type="dxa"/>
            <w:vMerge w:val="restart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123 127,00</w:t>
            </w:r>
          </w:p>
          <w:p w:rsidR="00DC63BD" w:rsidRPr="00DC63BD" w:rsidRDefault="00DC63BD" w:rsidP="00DC63BD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</w:tc>
        <w:tc>
          <w:tcPr>
            <w:tcW w:w="1276" w:type="dxa"/>
            <w:vMerge w:val="restart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4673,00</w:t>
            </w:r>
          </w:p>
        </w:tc>
        <w:tc>
          <w:tcPr>
            <w:tcW w:w="1559" w:type="dxa"/>
            <w:vMerge w:val="restart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46,73</w:t>
            </w:r>
          </w:p>
        </w:tc>
        <w:tc>
          <w:tcPr>
            <w:tcW w:w="1559" w:type="dxa"/>
            <w:vMerge w:val="restart"/>
            <w:vAlign w:val="center"/>
          </w:tcPr>
          <w:p w:rsidR="00DC63BD" w:rsidRPr="00DC63BD" w:rsidRDefault="00DC63BD" w:rsidP="00DC63BD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Tereny zabudowy mieszkalnej wielorodzinnej</w:t>
            </w:r>
          </w:p>
        </w:tc>
        <w:tc>
          <w:tcPr>
            <w:tcW w:w="2517" w:type="dxa"/>
            <w:vMerge w:val="restart"/>
            <w:vAlign w:val="center"/>
          </w:tcPr>
          <w:p w:rsidR="00DC63BD" w:rsidRPr="00DC63BD" w:rsidRDefault="00DC63BD" w:rsidP="00DC63B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C63BD">
              <w:rPr>
                <w:rFonts w:eastAsia="Times New Roman"/>
                <w:sz w:val="22"/>
                <w:szCs w:val="22"/>
                <w:lang w:eastAsia="ar-SA"/>
              </w:rPr>
              <w:t>Lokal mieszkalny na własność na rzecz najemcy, udział w gruncie w użytkowanie wieczyste</w:t>
            </w:r>
          </w:p>
        </w:tc>
      </w:tr>
      <w:tr w:rsidR="00DC63BD" w:rsidTr="00E73BE7">
        <w:trPr>
          <w:trHeight w:val="693"/>
        </w:trPr>
        <w:tc>
          <w:tcPr>
            <w:tcW w:w="704" w:type="dxa"/>
            <w:vMerge/>
            <w:vAlign w:val="center"/>
          </w:tcPr>
          <w:p w:rsidR="00DC63BD" w:rsidRDefault="00DC63BD" w:rsidP="00DC63BD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DC63BD" w:rsidRDefault="00DC63BD" w:rsidP="00DC63BD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DC63BD" w:rsidRPr="00E73BE7" w:rsidRDefault="00DC63BD" w:rsidP="00DC63BD">
            <w:pPr>
              <w:jc w:val="center"/>
            </w:pPr>
          </w:p>
          <w:p w:rsidR="00DC63BD" w:rsidRPr="00E73BE7" w:rsidRDefault="00DC63BD" w:rsidP="00DC63BD">
            <w:pPr>
              <w:jc w:val="center"/>
            </w:pPr>
            <w:r w:rsidRPr="00E73BE7">
              <w:t>Kamionek</w:t>
            </w:r>
          </w:p>
        </w:tc>
        <w:tc>
          <w:tcPr>
            <w:tcW w:w="993" w:type="dxa"/>
            <w:vMerge/>
            <w:vAlign w:val="center"/>
          </w:tcPr>
          <w:p w:rsidR="00DC63BD" w:rsidRDefault="00DC63BD" w:rsidP="00DC63BD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DC63BD" w:rsidRDefault="00DC63BD" w:rsidP="00DC63BD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C63BD" w:rsidRDefault="00DC63BD" w:rsidP="00DC63BD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DC63BD" w:rsidRDefault="00DC63BD" w:rsidP="00DC63BD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C63BD" w:rsidRDefault="00DC63BD" w:rsidP="00DC63BD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DC63BD" w:rsidRDefault="00DC63BD" w:rsidP="00DC63BD">
            <w:pPr>
              <w:pStyle w:val="Tekstpodstawowy"/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517" w:type="dxa"/>
            <w:vMerge/>
            <w:vAlign w:val="center"/>
          </w:tcPr>
          <w:p w:rsidR="00DC63BD" w:rsidRDefault="00DC63BD" w:rsidP="00DC63BD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</w:p>
        </w:tc>
      </w:tr>
    </w:tbl>
    <w:p w:rsidR="00DC63BD" w:rsidRPr="00DC63BD" w:rsidRDefault="00DC63BD" w:rsidP="00DC63BD">
      <w:pPr>
        <w:jc w:val="both"/>
        <w:rPr>
          <w:sz w:val="22"/>
          <w:szCs w:val="22"/>
        </w:rPr>
      </w:pPr>
      <w:r w:rsidRPr="00DC63BD">
        <w:rPr>
          <w:sz w:val="22"/>
          <w:szCs w:val="22"/>
        </w:rPr>
        <w:t>Pierwsza opłata z tytułu użytkowania wieczystego wynosi 25% wartości udziału w gruncie i zostanie wniesiona najpóźniej w dniu podpisania aktu notarialnego. Opłaty roczne wnosi się przez cały okres użytkowania wieczystego w terminie do dnia 31 marca każdego roku, z góry za dany rok. Wysokości opłaty rocznej za nieruchomości gruntowe oddane na cele mieszkaniowe wynoszą 1% wartości udziału. Wysokość opłaty rocznej może być aktualizowana nie częściej niż raz w roku. Aktualizacji opłaty rocznej dokonuje się z urzędu lub na wniosek użytkownika wieczystego na podstawie wartości nieruchomości określonej przez rzeczoznawcę majątkowego. Do ceny sprzedaży lokalu stosuje się bonifikatę w wysokości 90% zgodnie z § 1 Uchwały Rady Gminy Szczytno nr XXIX/200/05 z dnia 08.03.2005 r. w sprawie ustalenia bonifikat przy sprzedaży lokali i budynków mieszkalnych stanowiących własność Gminy Szczytno.</w:t>
      </w:r>
    </w:p>
    <w:p w:rsidR="00DC63BD" w:rsidRPr="00DC63BD" w:rsidRDefault="00DC63BD" w:rsidP="00DC63BD">
      <w:pPr>
        <w:jc w:val="both"/>
        <w:rPr>
          <w:rFonts w:eastAsia="Times New Roman"/>
          <w:sz w:val="22"/>
          <w:szCs w:val="22"/>
          <w:lang w:eastAsia="ar-SA"/>
        </w:rPr>
      </w:pPr>
      <w:r w:rsidRPr="00DC63BD">
        <w:rPr>
          <w:rFonts w:eastAsia="Times New Roman"/>
          <w:sz w:val="22"/>
          <w:szCs w:val="22"/>
          <w:lang w:eastAsia="ar-SA"/>
        </w:rPr>
        <w:t>Nieruchomość położona jest w miejscowości Kamionek w kompleksie budynków wielorodzinnych. Dojazd do nieruchomości drogą asfaltową. Działka zabudowana wielorodzinnym budynkiem mieszkalnym. Wyposażenie nieruchomości w infrastrukturę techniczną jest pełne – sieć kanalizacyjna, wodociągowa, elektroenergetyczna i gazowa.</w:t>
      </w:r>
    </w:p>
    <w:p w:rsidR="00DC63BD" w:rsidRPr="00DC63BD" w:rsidRDefault="00DC63BD" w:rsidP="00DC63BD">
      <w:pPr>
        <w:jc w:val="both"/>
        <w:rPr>
          <w:rFonts w:eastAsia="Times New Roman"/>
          <w:sz w:val="22"/>
          <w:szCs w:val="22"/>
          <w:lang w:eastAsia="ar-SA"/>
        </w:rPr>
      </w:pPr>
      <w:r w:rsidRPr="00DC63BD">
        <w:rPr>
          <w:rFonts w:eastAsia="Times New Roman"/>
          <w:sz w:val="22"/>
          <w:szCs w:val="22"/>
          <w:lang w:eastAsia="ar-SA"/>
        </w:rPr>
        <w:t>Lokal mieszkalny Kamionek 12 m. 9 wraz z udziałem 516/10000 w gruncie i częściach wspólnych budynku.</w:t>
      </w:r>
    </w:p>
    <w:p w:rsidR="00DC63BD" w:rsidRPr="00DC63BD" w:rsidRDefault="00DC63BD" w:rsidP="00DC63BD">
      <w:pPr>
        <w:rPr>
          <w:rFonts w:eastAsia="Times New Roman"/>
          <w:sz w:val="22"/>
          <w:szCs w:val="22"/>
          <w:lang w:eastAsia="ar-SA"/>
        </w:rPr>
      </w:pPr>
      <w:r w:rsidRPr="00DC63BD">
        <w:rPr>
          <w:rFonts w:eastAsia="Times New Roman"/>
          <w:sz w:val="22"/>
          <w:szCs w:val="22"/>
          <w:lang w:eastAsia="ar-SA"/>
        </w:rPr>
        <w:t>Termin zagospodarowania nieruchomości: jeden miesiąc od dnia nabycia.</w:t>
      </w:r>
    </w:p>
    <w:p w:rsidR="00DC63BD" w:rsidRPr="00DC63BD" w:rsidRDefault="00DC63BD" w:rsidP="00DC63BD">
      <w:pPr>
        <w:rPr>
          <w:rFonts w:eastAsia="Times New Roman"/>
          <w:sz w:val="22"/>
          <w:szCs w:val="22"/>
          <w:lang w:eastAsia="ar-SA"/>
        </w:rPr>
      </w:pPr>
      <w:r w:rsidRPr="00DC63BD">
        <w:rPr>
          <w:rFonts w:eastAsia="Times New Roman"/>
          <w:sz w:val="22"/>
          <w:szCs w:val="22"/>
          <w:lang w:eastAsia="ar-SA"/>
        </w:rPr>
        <w:t>Wykaz niniejszy został sporządzony na okres 21 dni od dnia 05-09-2016 r. do dnia  26-09-2016 r.</w:t>
      </w:r>
    </w:p>
    <w:p w:rsidR="00DC63BD" w:rsidRPr="00DC63BD" w:rsidRDefault="00DC63BD" w:rsidP="00DC63BD">
      <w:pPr>
        <w:jc w:val="both"/>
        <w:rPr>
          <w:sz w:val="22"/>
          <w:szCs w:val="22"/>
        </w:rPr>
      </w:pPr>
      <w:r w:rsidRPr="00DC63BD">
        <w:rPr>
          <w:sz w:val="22"/>
          <w:szCs w:val="22"/>
        </w:rPr>
        <w:t xml:space="preserve">Po upływie określonego terminu zostanie sporządzony protokół warunków sprzedaży przedmiotowej nieruchomości. Osoby, którym z mocy ustawy o gospodarce nieruchomościami / j. t. Dz. U. z 2010 r. nr 102, poz. 651 z późn. zm.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17-10-2016 r. </w:t>
      </w:r>
    </w:p>
    <w:p w:rsidR="0099756B" w:rsidRDefault="0099756B" w:rsidP="0099756B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</w:p>
    <w:p w:rsidR="0099756B" w:rsidRDefault="0099756B" w:rsidP="0099756B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bookmarkStart w:id="0" w:name="_GoBack"/>
      <w:bookmarkEnd w:id="0"/>
      <w:r>
        <w:rPr>
          <w:rFonts w:eastAsia="Times New Roman"/>
          <w:bCs/>
          <w:iCs/>
          <w:sz w:val="20"/>
          <w:szCs w:val="20"/>
          <w:lang w:eastAsia="ar-SA"/>
        </w:rPr>
        <w:lastRenderedPageBreak/>
        <w:t>Sporządził: Krzysztof Szydlik</w:t>
      </w:r>
    </w:p>
    <w:p w:rsidR="0099756B" w:rsidRDefault="0099756B" w:rsidP="0099756B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 xml:space="preserve">Zatwierdził: Sławomir Wojciechowski – Wójt Gminy Szczytno </w:t>
      </w:r>
    </w:p>
    <w:p w:rsidR="00B46C32" w:rsidRDefault="00B46C32"/>
    <w:sectPr w:rsidR="00B46C32" w:rsidSect="00DC6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5"/>
    <w:rsid w:val="002411D5"/>
    <w:rsid w:val="00534979"/>
    <w:rsid w:val="0099756B"/>
    <w:rsid w:val="00B46C32"/>
    <w:rsid w:val="00DC63BD"/>
    <w:rsid w:val="00E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790F-8EA4-40F7-8CBB-4CDF3EFE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3B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63BD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C63BD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DC63BD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3BD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C63BD"/>
    <w:rPr>
      <w:rFonts w:ascii="Times New Roman" w:eastAsia="Arial Unicode MS" w:hAnsi="Times New Roman" w:cs="Times New Roman"/>
      <w:b/>
      <w:kern w:val="1"/>
      <w:sz w:val="32"/>
      <w:szCs w:val="24"/>
    </w:rPr>
  </w:style>
  <w:style w:type="table" w:styleId="Tabela-Siatka">
    <w:name w:val="Table Grid"/>
    <w:basedOn w:val="Standardowy"/>
    <w:uiPriority w:val="39"/>
    <w:rsid w:val="00DC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DC63BD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Tekstpodstawowy">
    <w:name w:val="Body Text"/>
    <w:basedOn w:val="Normalny"/>
    <w:link w:val="TekstpodstawowyZnak"/>
    <w:rsid w:val="00DC6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63BD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2016-09-01T07:01:00Z</dcterms:created>
  <dcterms:modified xsi:type="dcterms:W3CDTF">2016-09-05T10:23:00Z</dcterms:modified>
</cp:coreProperties>
</file>