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22" w:rsidRPr="00C674C9" w:rsidRDefault="00054222" w:rsidP="00054222">
      <w:pPr>
        <w:suppressAutoHyphens/>
        <w:spacing w:after="0" w:line="259" w:lineRule="auto"/>
        <w:ind w:left="4248" w:firstLine="5"/>
        <w:jc w:val="right"/>
        <w:rPr>
          <w:rFonts w:cs="Arial Unicode MS"/>
          <w:lang w:eastAsia="ar-SA"/>
        </w:rPr>
      </w:pPr>
      <w:r w:rsidRPr="00C674C9">
        <w:rPr>
          <w:rFonts w:cs="Arial Unicode MS"/>
          <w:lang w:eastAsia="ar-SA"/>
        </w:rPr>
        <w:t xml:space="preserve">Łódź, dnia </w:t>
      </w:r>
      <w:r>
        <w:rPr>
          <w:rFonts w:cs="Arial Unicode MS"/>
          <w:lang w:eastAsia="ar-SA"/>
        </w:rPr>
        <w:t>28 marca</w:t>
      </w:r>
      <w:r w:rsidRPr="00C674C9">
        <w:rPr>
          <w:rFonts w:cs="Arial Unicode MS"/>
          <w:lang w:eastAsia="ar-SA"/>
        </w:rPr>
        <w:t xml:space="preserve"> 2023 roku</w:t>
      </w:r>
    </w:p>
    <w:p w:rsidR="00054222" w:rsidRPr="00C674C9" w:rsidRDefault="00054222" w:rsidP="00054222">
      <w:pPr>
        <w:suppressAutoHyphens/>
        <w:spacing w:after="0" w:line="259" w:lineRule="auto"/>
        <w:rPr>
          <w:rFonts w:cs="Arial Unicode MS"/>
          <w:lang w:eastAsia="ar-SA"/>
        </w:rPr>
      </w:pPr>
    </w:p>
    <w:p w:rsidR="00054222" w:rsidRPr="00C674C9" w:rsidRDefault="00054222" w:rsidP="00054222">
      <w:pPr>
        <w:suppressAutoHyphens/>
        <w:spacing w:after="0" w:line="259" w:lineRule="auto"/>
        <w:rPr>
          <w:rFonts w:cs="Arial Unicode MS"/>
          <w:lang w:eastAsia="ar-SA"/>
        </w:rPr>
      </w:pPr>
    </w:p>
    <w:p w:rsidR="00054222" w:rsidRPr="00C674C9" w:rsidRDefault="00054222" w:rsidP="00054222">
      <w:pPr>
        <w:suppressAutoHyphens/>
        <w:spacing w:after="0" w:line="259" w:lineRule="auto"/>
        <w:rPr>
          <w:rFonts w:cs="Arial Unicode MS"/>
          <w:lang w:eastAsia="ar-SA"/>
        </w:rPr>
      </w:pPr>
    </w:p>
    <w:p w:rsidR="00054222" w:rsidRPr="00C674C9" w:rsidRDefault="00054222" w:rsidP="00054222">
      <w:pPr>
        <w:suppressAutoHyphens/>
        <w:spacing w:after="0" w:line="259" w:lineRule="auto"/>
        <w:rPr>
          <w:rFonts w:cs="Arial Unicode MS"/>
          <w:lang w:eastAsia="ar-SA"/>
        </w:rPr>
      </w:pPr>
    </w:p>
    <w:p w:rsidR="00054222" w:rsidRPr="00C674C9" w:rsidRDefault="00054222" w:rsidP="00054222">
      <w:pPr>
        <w:suppressAutoHyphens/>
        <w:spacing w:after="0" w:line="259" w:lineRule="auto"/>
        <w:rPr>
          <w:rFonts w:cs="Arial Unicode MS"/>
          <w:lang w:eastAsia="ar-SA"/>
        </w:rPr>
      </w:pPr>
    </w:p>
    <w:p w:rsidR="00054222" w:rsidRPr="00C674C9" w:rsidRDefault="00054222" w:rsidP="00054222">
      <w:pPr>
        <w:suppressAutoHyphens/>
        <w:spacing w:after="0" w:line="259" w:lineRule="auto"/>
        <w:ind w:left="4961" w:firstLine="6"/>
        <w:rPr>
          <w:rFonts w:cs="Arial Unicode MS"/>
          <w:lang w:eastAsia="ar-SA"/>
        </w:rPr>
      </w:pPr>
      <w:r w:rsidRPr="00C674C9">
        <w:rPr>
          <w:rFonts w:cs="Arial Unicode MS"/>
          <w:lang w:eastAsia="ar-SA"/>
        </w:rPr>
        <w:t>Pan</w:t>
      </w:r>
    </w:p>
    <w:p w:rsidR="00054222" w:rsidRPr="007D785B" w:rsidRDefault="00054222" w:rsidP="00054222">
      <w:pPr>
        <w:suppressAutoHyphens/>
        <w:spacing w:after="0" w:line="259" w:lineRule="auto"/>
        <w:ind w:left="4961" w:firstLine="6"/>
        <w:rPr>
          <w:rFonts w:cs="Arial Unicode MS"/>
          <w:lang w:eastAsia="ar-SA"/>
        </w:rPr>
      </w:pPr>
      <w:r w:rsidRPr="007D785B">
        <w:rPr>
          <w:rFonts w:cs="Arial Unicode MS"/>
          <w:lang w:eastAsia="ar-SA"/>
        </w:rPr>
        <w:t>TOMASZ JACHYMEK</w:t>
      </w:r>
    </w:p>
    <w:p w:rsidR="00054222" w:rsidRPr="00C674C9" w:rsidRDefault="00054222" w:rsidP="00054222">
      <w:pPr>
        <w:suppressAutoHyphens/>
        <w:spacing w:after="0" w:line="259" w:lineRule="auto"/>
        <w:ind w:left="4961" w:firstLine="6"/>
        <w:rPr>
          <w:rFonts w:cs="Arial Unicode MS"/>
          <w:lang w:eastAsia="ar-SA"/>
        </w:rPr>
      </w:pPr>
      <w:r w:rsidRPr="00C674C9">
        <w:rPr>
          <w:rFonts w:cs="Arial Unicode MS"/>
          <w:lang w:eastAsia="ar-SA"/>
        </w:rPr>
        <w:t>Burmistrz Zelowa</w:t>
      </w:r>
    </w:p>
    <w:p w:rsidR="00054222" w:rsidRPr="00C674C9" w:rsidRDefault="00054222" w:rsidP="00054222">
      <w:pPr>
        <w:tabs>
          <w:tab w:val="left" w:pos="4678"/>
        </w:tabs>
        <w:spacing w:after="0" w:line="259" w:lineRule="auto"/>
      </w:pPr>
    </w:p>
    <w:p w:rsidR="00054222" w:rsidRPr="00C674C9" w:rsidRDefault="00054222" w:rsidP="00054222">
      <w:pPr>
        <w:tabs>
          <w:tab w:val="left" w:pos="4678"/>
        </w:tabs>
        <w:spacing w:after="0" w:line="259" w:lineRule="auto"/>
      </w:pPr>
    </w:p>
    <w:p w:rsidR="00054222" w:rsidRPr="00C674C9" w:rsidRDefault="00054222" w:rsidP="00054222">
      <w:pPr>
        <w:tabs>
          <w:tab w:val="left" w:pos="4678"/>
        </w:tabs>
        <w:spacing w:after="0" w:line="259" w:lineRule="auto"/>
      </w:pPr>
    </w:p>
    <w:p w:rsidR="00054222" w:rsidRPr="00C674C9" w:rsidRDefault="00054222" w:rsidP="00054222">
      <w:pPr>
        <w:tabs>
          <w:tab w:val="left" w:pos="4678"/>
        </w:tabs>
        <w:spacing w:after="0" w:line="259" w:lineRule="auto"/>
      </w:pPr>
      <w:r w:rsidRPr="00C674C9">
        <w:t>WK-602/</w:t>
      </w:r>
      <w:r>
        <w:t>14/</w:t>
      </w:r>
      <w:r w:rsidRPr="00C674C9">
        <w:t>2023</w:t>
      </w:r>
    </w:p>
    <w:p w:rsidR="00054222" w:rsidRPr="006134C9" w:rsidRDefault="00054222" w:rsidP="00054222">
      <w:pPr>
        <w:tabs>
          <w:tab w:val="left" w:pos="4678"/>
        </w:tabs>
        <w:spacing w:after="0" w:line="259" w:lineRule="auto"/>
        <w:rPr>
          <w:highlight w:val="yellow"/>
        </w:rPr>
      </w:pPr>
    </w:p>
    <w:p w:rsidR="00054222" w:rsidRPr="006134C9" w:rsidRDefault="00054222" w:rsidP="00054222">
      <w:pPr>
        <w:spacing w:after="0" w:line="259" w:lineRule="auto"/>
        <w:rPr>
          <w:highlight w:val="yellow"/>
        </w:rPr>
      </w:pPr>
    </w:p>
    <w:p w:rsidR="00054222" w:rsidRPr="006134C9" w:rsidRDefault="00054222" w:rsidP="00054222">
      <w:pPr>
        <w:spacing w:after="0" w:line="259" w:lineRule="auto"/>
        <w:rPr>
          <w:highlight w:val="yellow"/>
        </w:rPr>
      </w:pPr>
    </w:p>
    <w:p w:rsidR="00054222" w:rsidRDefault="00054222" w:rsidP="00054222">
      <w:pPr>
        <w:spacing w:after="120" w:line="259" w:lineRule="auto"/>
        <w:jc w:val="both"/>
      </w:pPr>
      <w:r w:rsidRPr="0010644E">
        <w:rPr>
          <w:rFonts w:cs="Arial Unicode MS"/>
          <w:lang w:eastAsia="ar-SA"/>
        </w:rPr>
        <w:t xml:space="preserve">Na podstawie art. 9 ust. 2 ustawy z dnia 7 października 1992 r. </w:t>
      </w:r>
      <w:r w:rsidRPr="0010644E">
        <w:rPr>
          <w:rFonts w:cs="Arial Unicode MS"/>
          <w:lang w:eastAsia="ar-SA"/>
        </w:rPr>
        <w:br/>
        <w:t xml:space="preserve">o regionalnych izbach obrachunkowych (tekst jednolity Dz.U. z 2022 r. poz. 1668), informuję Pana </w:t>
      </w:r>
      <w:r>
        <w:rPr>
          <w:rFonts w:cs="Arial Unicode MS"/>
          <w:lang w:eastAsia="ar-SA"/>
        </w:rPr>
        <w:t>Burmistrza</w:t>
      </w:r>
      <w:r w:rsidRPr="0010644E">
        <w:rPr>
          <w:rFonts w:cs="Arial Unicode MS"/>
          <w:lang w:eastAsia="ar-SA"/>
        </w:rPr>
        <w:t>, że Regionalna Izba Obrachunkowa w Łodzi przeprowadziła kompleksową kontrolę gospodarki finansowej i zamówień publicznych w Gminie Zelów</w:t>
      </w:r>
      <w:r w:rsidRPr="0010644E">
        <w:rPr>
          <w:rFonts w:cs="Arial Unicode MS"/>
          <w:vertAlign w:val="superscript"/>
          <w:lang w:eastAsia="ar-SA"/>
        </w:rPr>
        <w:footnoteReference w:id="1"/>
      </w:r>
      <w:r w:rsidRPr="0010644E">
        <w:rPr>
          <w:rFonts w:cs="Arial Unicode MS"/>
          <w:lang w:eastAsia="ar-SA"/>
        </w:rPr>
        <w:t>. Kontrolą objęto zagadnienia z lat 2020</w:t>
      </w:r>
      <w:r w:rsidRPr="0010644E">
        <w:rPr>
          <w:rFonts w:cs="Arial Unicode MS"/>
          <w:lang w:eastAsia="ar-SA"/>
        </w:rPr>
        <w:br/>
        <w:t>– 2022 (III kwartał) dotyczące przede wszystkim: zadłużenia; sporządzania sprawozdań budżetowych i finansowych; prowadzenia rachunkowości; realizacji dochodów z tytułu podatków lokalnych oraz majątku; sporządzania wieloletniej prognozy finansowej; wykonania budżetu, w tym realizacji wydatków; udzielania dotacji jednostkom spoza sektora finansów publicznych; wydatków osobowych; udzielania zamówień publicznych i realizacji inwestycji; ewidencji i inwentaryzacji majątku; udzielania dotacji innym jednostkom sektora finansów publicznych. Stwierdzone w wyniku czynności kontrolnych nieprawidłowości i uchybienia wynikały z nieprzestrzegania obowiązujących przepisów prawa lub ich wadliwej interpretacji.</w:t>
      </w:r>
      <w:bookmarkStart w:id="0" w:name="_GoBack"/>
      <w:bookmarkEnd w:id="0"/>
    </w:p>
    <w:p w:rsidR="00054222" w:rsidRDefault="00054222" w:rsidP="00054222">
      <w:pPr>
        <w:spacing w:after="120" w:line="259" w:lineRule="auto"/>
        <w:jc w:val="both"/>
      </w:pPr>
      <w:r w:rsidRPr="0092375D">
        <w:t xml:space="preserve">RIO w Łodzi kieruje następujące </w:t>
      </w:r>
      <w:r w:rsidRPr="0092375D">
        <w:rPr>
          <w:b/>
        </w:rPr>
        <w:t>wnioski pokontrolne</w:t>
      </w:r>
      <w:r w:rsidRPr="0092375D">
        <w:t>:</w:t>
      </w:r>
    </w:p>
    <w:p w:rsidR="00054222" w:rsidRPr="0092375D" w:rsidRDefault="00054222" w:rsidP="00054222">
      <w:pPr>
        <w:spacing w:after="120" w:line="259" w:lineRule="auto"/>
        <w:jc w:val="both"/>
      </w:pPr>
    </w:p>
    <w:p w:rsidR="00054222" w:rsidRPr="00465D1E" w:rsidRDefault="00054222" w:rsidP="00054222">
      <w:pPr>
        <w:numPr>
          <w:ilvl w:val="0"/>
          <w:numId w:val="3"/>
        </w:numPr>
        <w:tabs>
          <w:tab w:val="left" w:pos="567"/>
        </w:tabs>
        <w:spacing w:after="120" w:line="259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465D1E">
        <w:rPr>
          <w:rFonts w:eastAsia="Times New Roman" w:cs="Times New Roman"/>
          <w:lang w:eastAsia="pl-PL"/>
        </w:rPr>
        <w:t xml:space="preserve">Dokonać aktualizacji obowiązującej w jednostce Instrukcji w sprawie zasad dotyczących przeciwdziałania praniu pieniędzy oraz finansowaniu terroryzmu, mając na uwadze przepisy ustawy z dnia 1 marca 2018 roku </w:t>
      </w:r>
      <w:r w:rsidRPr="00465D1E">
        <w:rPr>
          <w:rFonts w:eastAsia="Times New Roman" w:cs="A"/>
          <w:lang w:eastAsia="ar-SA"/>
        </w:rPr>
        <w:t>o przeciwdziałaniu praniu pieniędzy oraz finansowaniu terroryzmu</w:t>
      </w:r>
      <w:r>
        <w:rPr>
          <w:rFonts w:eastAsia="Times New Roman" w:cs="A"/>
          <w:lang w:eastAsia="ar-SA"/>
        </w:rPr>
        <w:t>.</w:t>
      </w:r>
    </w:p>
    <w:p w:rsidR="00054222" w:rsidRPr="00333C71" w:rsidRDefault="00054222" w:rsidP="00054222">
      <w:pPr>
        <w:numPr>
          <w:ilvl w:val="0"/>
          <w:numId w:val="3"/>
        </w:numPr>
        <w:tabs>
          <w:tab w:val="left" w:pos="567"/>
        </w:tabs>
        <w:spacing w:after="120" w:line="259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333C71">
        <w:rPr>
          <w:rFonts w:eastAsia="Times New Roman" w:cs="Times New Roman"/>
          <w:lang w:eastAsia="pl-PL"/>
        </w:rPr>
        <w:t>Zapewnić rzetelne wykonywanie wniosków pokontrolnych formułowanych przez RIO w Łodzi, zgodnie z udzielaną na nie odpowiedzią (art. 9 ust. 3 ustawy o regionalnych izbach obrachunkowych).</w:t>
      </w:r>
    </w:p>
    <w:p w:rsidR="00054222" w:rsidRPr="00333C71" w:rsidRDefault="00054222" w:rsidP="00054222">
      <w:pPr>
        <w:numPr>
          <w:ilvl w:val="0"/>
          <w:numId w:val="3"/>
        </w:numPr>
        <w:tabs>
          <w:tab w:val="left" w:pos="567"/>
        </w:tabs>
        <w:spacing w:after="120" w:line="259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333C71">
        <w:rPr>
          <w:rFonts w:eastAsia="Times New Roman" w:cs="Arial Unicode MS"/>
          <w:color w:val="000000"/>
          <w:lang w:eastAsia="ar-SA"/>
        </w:rPr>
        <w:t xml:space="preserve">Zapewnić przestrzeganie przepisów rozporządzenia Ministra Rozwoju </w:t>
      </w:r>
      <w:r>
        <w:rPr>
          <w:rFonts w:eastAsia="Times New Roman" w:cs="Arial Unicode MS"/>
          <w:color w:val="000000"/>
          <w:lang w:eastAsia="ar-SA"/>
        </w:rPr>
        <w:br/>
      </w:r>
      <w:r w:rsidRPr="00333C71">
        <w:rPr>
          <w:rFonts w:eastAsia="Times New Roman" w:cs="Arial Unicode MS"/>
          <w:color w:val="000000"/>
          <w:lang w:eastAsia="ar-SA"/>
        </w:rPr>
        <w:t>i Finansów z dnia 13 września 2017 r</w:t>
      </w:r>
      <w:r>
        <w:rPr>
          <w:rFonts w:eastAsia="Times New Roman" w:cs="Arial Unicode MS"/>
          <w:color w:val="000000"/>
          <w:lang w:eastAsia="ar-SA"/>
        </w:rPr>
        <w:t>oku</w:t>
      </w:r>
      <w:r w:rsidRPr="00333C71">
        <w:rPr>
          <w:rFonts w:eastAsia="Times New Roman" w:cs="Arial Unicode MS"/>
          <w:color w:val="000000"/>
          <w:lang w:eastAsia="ar-SA"/>
        </w:rPr>
        <w:t xml:space="preserve"> w sprawie rachunkowości oraz planów kont dla budżetu państwa, budżetów jednostek samorządu terytorialnego, jednostek budżetowych, samorządowych zakładów budżetowych, państwowych funduszy celowych oraz państwowych jednostek budżetowych </w:t>
      </w:r>
      <w:r w:rsidRPr="00333C71">
        <w:rPr>
          <w:rFonts w:eastAsia="Times New Roman" w:cs="Arial Unicode MS"/>
          <w:color w:val="000000"/>
          <w:lang w:eastAsia="ar-SA"/>
        </w:rPr>
        <w:lastRenderedPageBreak/>
        <w:t>mających siedzibę poza granicami Rzeczypospolitej Polskiej, w szczególności poprzez:</w:t>
      </w:r>
    </w:p>
    <w:p w:rsidR="00054222" w:rsidRDefault="00054222" w:rsidP="00054222">
      <w:pPr>
        <w:numPr>
          <w:ilvl w:val="0"/>
          <w:numId w:val="4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465D1E">
        <w:rPr>
          <w:rFonts w:eastAsia="Times New Roman" w:cs="Arial Unicode MS"/>
          <w:color w:val="000000"/>
        </w:rPr>
        <w:t xml:space="preserve">dokonywanie ewidencji operacji gospodarczych dotyczących odsetek od kredytów oraz obligacji obciążających koszty danego roku, a płatnych w roku następnym, zgodnie z systematyką określoną w ww. rozporządzeniu; </w:t>
      </w:r>
    </w:p>
    <w:p w:rsidR="00054222" w:rsidRDefault="00054222" w:rsidP="00054222">
      <w:pPr>
        <w:numPr>
          <w:ilvl w:val="0"/>
          <w:numId w:val="4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>
        <w:rPr>
          <w:rFonts w:eastAsia="Times New Roman" w:cs="Arial Unicode MS"/>
          <w:color w:val="000000"/>
        </w:rPr>
        <w:t>zaniechanie</w:t>
      </w:r>
      <w:r w:rsidRPr="00465D1E">
        <w:rPr>
          <w:rFonts w:eastAsia="Times New Roman" w:cs="Arial Unicode MS"/>
          <w:color w:val="000000"/>
        </w:rPr>
        <w:t xml:space="preserve"> </w:t>
      </w:r>
      <w:r>
        <w:rPr>
          <w:rFonts w:eastAsia="Times New Roman" w:cs="Arial Unicode MS"/>
          <w:color w:val="000000"/>
        </w:rPr>
        <w:t xml:space="preserve">dokonywania </w:t>
      </w:r>
      <w:r w:rsidRPr="00465D1E">
        <w:rPr>
          <w:rFonts w:eastAsia="Times New Roman" w:cs="Arial Unicode MS"/>
          <w:color w:val="000000"/>
        </w:rPr>
        <w:t>nieprzewidzianych przez przepisy rozporządzenia księgowań pomiędzy kontem 222 a kontem 223;</w:t>
      </w:r>
    </w:p>
    <w:p w:rsidR="00054222" w:rsidRDefault="00054222" w:rsidP="00054222">
      <w:pPr>
        <w:numPr>
          <w:ilvl w:val="0"/>
          <w:numId w:val="4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>
        <w:rPr>
          <w:rFonts w:eastAsia="Times New Roman" w:cs="Arial Unicode MS"/>
          <w:color w:val="000000"/>
        </w:rPr>
        <w:t>nieprowadzenie konta 222 w urzędzie JST - w</w:t>
      </w:r>
      <w:r w:rsidRPr="00465D1E">
        <w:rPr>
          <w:rFonts w:eastAsia="Times New Roman" w:cs="Arial Unicode MS"/>
          <w:color w:val="000000"/>
        </w:rPr>
        <w:t xml:space="preserve"> przypadku prowadzenia wspólnego rachunku bankowego dla jednostki budżetowej – urzędu </w:t>
      </w:r>
      <w:r>
        <w:rPr>
          <w:rFonts w:eastAsia="Times New Roman" w:cs="Arial Unicode MS"/>
          <w:color w:val="000000"/>
        </w:rPr>
        <w:t xml:space="preserve">JST </w:t>
      </w:r>
      <w:r w:rsidRPr="00465D1E">
        <w:rPr>
          <w:rFonts w:eastAsia="Times New Roman" w:cs="Arial Unicode MS"/>
          <w:color w:val="000000"/>
        </w:rPr>
        <w:t xml:space="preserve">i dla </w:t>
      </w:r>
      <w:r>
        <w:rPr>
          <w:rFonts w:eastAsia="Times New Roman" w:cs="Arial Unicode MS"/>
          <w:color w:val="000000"/>
        </w:rPr>
        <w:t>organu;</w:t>
      </w:r>
    </w:p>
    <w:p w:rsidR="00054222" w:rsidRPr="00BA1343" w:rsidRDefault="00054222" w:rsidP="00054222">
      <w:pPr>
        <w:numPr>
          <w:ilvl w:val="0"/>
          <w:numId w:val="4"/>
        </w:numPr>
        <w:spacing w:after="120" w:line="259" w:lineRule="auto"/>
        <w:ind w:left="567" w:hanging="567"/>
        <w:jc w:val="both"/>
        <w:rPr>
          <w:rFonts w:eastAsia="Times New Roman" w:cs="Arial Unicode MS"/>
          <w:lang w:eastAsia="ar-SA"/>
        </w:rPr>
      </w:pPr>
      <w:r>
        <w:rPr>
          <w:rFonts w:eastAsia="Times New Roman" w:cs="Arial Unicode MS"/>
          <w:lang w:eastAsia="ar-SA"/>
        </w:rPr>
        <w:t xml:space="preserve">opisanie w zasadach (polityce) rachunkowości zasad prowadzenia konta </w:t>
      </w:r>
      <w:r w:rsidRPr="002B40BB">
        <w:rPr>
          <w:rFonts w:eastAsia="Calibri" w:cs="Times New Roman"/>
        </w:rPr>
        <w:t>223/</w:t>
      </w:r>
      <w:proofErr w:type="spellStart"/>
      <w:r w:rsidRPr="002B40BB">
        <w:rPr>
          <w:rFonts w:eastAsia="Calibri" w:cs="Times New Roman"/>
        </w:rPr>
        <w:t>Ref.OKSZ</w:t>
      </w:r>
      <w:proofErr w:type="spellEnd"/>
      <w:r>
        <w:rPr>
          <w:rFonts w:eastAsia="Calibri" w:cs="Times New Roman"/>
        </w:rPr>
        <w:t>;</w:t>
      </w:r>
    </w:p>
    <w:p w:rsidR="00054222" w:rsidRPr="002B40BB" w:rsidRDefault="00054222" w:rsidP="00054222">
      <w:pPr>
        <w:numPr>
          <w:ilvl w:val="0"/>
          <w:numId w:val="4"/>
        </w:numPr>
        <w:spacing w:after="120" w:line="259" w:lineRule="auto"/>
        <w:ind w:left="567" w:hanging="567"/>
        <w:jc w:val="both"/>
        <w:rPr>
          <w:rFonts w:eastAsia="Times New Roman" w:cs="Arial Unicode MS"/>
          <w:lang w:eastAsia="ar-SA"/>
        </w:rPr>
      </w:pPr>
      <w:r>
        <w:rPr>
          <w:rFonts w:eastAsia="Times New Roman" w:cs="Arial Unicode MS"/>
          <w:lang w:eastAsia="ar-SA"/>
        </w:rPr>
        <w:t xml:space="preserve">prowadzenie ewidencji na koncie 980 - </w:t>
      </w:r>
      <w:r>
        <w:rPr>
          <w:rFonts w:eastAsia="Calibri" w:cs="Times New Roman"/>
        </w:rPr>
        <w:t xml:space="preserve">Plan finansowy wydatków budżetowych (w urzędzie JST). </w:t>
      </w:r>
    </w:p>
    <w:p w:rsidR="00054222" w:rsidRPr="00333C71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Calibri" w:cs="Arial Unicode MS"/>
          <w:lang w:eastAsia="ar-SA"/>
        </w:rPr>
      </w:pPr>
      <w:r w:rsidRPr="00333C71">
        <w:rPr>
          <w:rFonts w:eastAsia="Calibri" w:cs="Arial Unicode MS"/>
          <w:lang w:eastAsia="ar-SA"/>
        </w:rPr>
        <w:t xml:space="preserve">Wydatki związane z obsługą zobowiązań dłużnych (w tym emitowanych obligacji) uwzględniać w limicie (limitach) zobowiązań dłużnych określanych </w:t>
      </w:r>
      <w:r>
        <w:rPr>
          <w:rFonts w:eastAsia="Calibri" w:cs="Arial Unicode MS"/>
          <w:lang w:eastAsia="ar-SA"/>
        </w:rPr>
        <w:br/>
      </w:r>
      <w:r w:rsidRPr="00333C71">
        <w:rPr>
          <w:rFonts w:eastAsia="Calibri" w:cs="Arial Unicode MS"/>
          <w:lang w:eastAsia="ar-SA"/>
        </w:rPr>
        <w:t xml:space="preserve">w uchwale budżetowej, na podstawie art. 212 ust. 1 pkt 6 ustawy </w:t>
      </w:r>
      <w:r w:rsidRPr="005D73E3">
        <w:rPr>
          <w:rFonts w:eastAsia="Calibri" w:cs="Arial Unicode MS"/>
          <w:lang w:eastAsia="ar-SA"/>
        </w:rPr>
        <w:t xml:space="preserve">z dnia </w:t>
      </w:r>
      <w:r>
        <w:rPr>
          <w:rFonts w:eastAsia="Calibri" w:cs="Arial Unicode MS"/>
          <w:lang w:eastAsia="ar-SA"/>
        </w:rPr>
        <w:br/>
      </w:r>
      <w:r w:rsidRPr="005D73E3">
        <w:rPr>
          <w:rFonts w:eastAsia="Calibri" w:cs="Arial Unicode MS"/>
          <w:lang w:eastAsia="ar-SA"/>
        </w:rPr>
        <w:t>27 sierpnia 2009 r</w:t>
      </w:r>
      <w:r>
        <w:rPr>
          <w:rFonts w:eastAsia="Calibri" w:cs="Arial Unicode MS"/>
          <w:lang w:eastAsia="ar-SA"/>
        </w:rPr>
        <w:t xml:space="preserve">oku </w:t>
      </w:r>
      <w:r w:rsidRPr="00333C71">
        <w:rPr>
          <w:rFonts w:eastAsia="Calibri" w:cs="Arial Unicode MS"/>
          <w:lang w:eastAsia="ar-SA"/>
        </w:rPr>
        <w:t>o finansach publicznych.</w:t>
      </w:r>
    </w:p>
    <w:p w:rsidR="00054222" w:rsidRPr="00333C71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Calibri" w:cs="Arial Unicode MS"/>
          <w:lang w:eastAsia="ar-SA"/>
        </w:rPr>
      </w:pPr>
      <w:r w:rsidRPr="00333C71">
        <w:rPr>
          <w:rFonts w:eastAsia="Calibri" w:cs="Arial Unicode MS"/>
          <w:lang w:eastAsia="ar-SA"/>
        </w:rPr>
        <w:t xml:space="preserve">Zapewnić przestrzeganie przepisów rozporządzenia Ministra Finansów z dnia </w:t>
      </w:r>
      <w:r>
        <w:rPr>
          <w:rFonts w:eastAsia="Calibri" w:cs="Arial Unicode MS"/>
          <w:lang w:eastAsia="ar-SA"/>
        </w:rPr>
        <w:br/>
      </w:r>
      <w:r w:rsidRPr="00333C71">
        <w:rPr>
          <w:rFonts w:eastAsia="Calibri" w:cs="Arial Unicode MS"/>
          <w:lang w:eastAsia="ar-SA"/>
        </w:rPr>
        <w:t>2 marca 2010 r</w:t>
      </w:r>
      <w:r>
        <w:rPr>
          <w:rFonts w:eastAsia="Calibri" w:cs="Arial Unicode MS"/>
          <w:lang w:eastAsia="ar-SA"/>
        </w:rPr>
        <w:t>oku</w:t>
      </w:r>
      <w:r w:rsidRPr="00333C71">
        <w:rPr>
          <w:rFonts w:eastAsia="Calibri" w:cs="Arial Unicode MS"/>
          <w:lang w:eastAsia="ar-SA"/>
        </w:rPr>
        <w:t xml:space="preserve"> w sprawie szczegółowej klasyfikacji dochodów, wydatków, przychodów i rozchodów oraz środków pochodzących ze źródeł zagranicznych, w szczególności poprzez:</w:t>
      </w:r>
    </w:p>
    <w:p w:rsidR="00054222" w:rsidRDefault="00054222" w:rsidP="00054222">
      <w:pPr>
        <w:numPr>
          <w:ilvl w:val="0"/>
          <w:numId w:val="2"/>
        </w:numPr>
        <w:spacing w:after="120" w:line="259" w:lineRule="auto"/>
        <w:ind w:left="567" w:hanging="567"/>
        <w:jc w:val="both"/>
        <w:rPr>
          <w:rFonts w:eastAsia="Calibri" w:cs="Times New Roman"/>
          <w:lang w:eastAsia="ar-SA"/>
        </w:rPr>
      </w:pPr>
      <w:r w:rsidRPr="00333C71">
        <w:rPr>
          <w:rFonts w:eastAsia="Calibri" w:cs="Times New Roman"/>
          <w:lang w:eastAsia="ar-SA"/>
        </w:rPr>
        <w:t xml:space="preserve">ujmowanie wydatków z tytułu prowizji </w:t>
      </w:r>
      <w:r w:rsidRPr="00333C71">
        <w:rPr>
          <w:rFonts w:eastAsia="Calibri"/>
          <w:lang w:eastAsia="ar-SA"/>
        </w:rPr>
        <w:t xml:space="preserve">za przeprowadzenie emisji obligacji komunalnych w § 809 - </w:t>
      </w:r>
      <w:r w:rsidRPr="00333C71">
        <w:rPr>
          <w:rFonts w:eastAsia="Calibri" w:cs="Times New Roman"/>
          <w:lang w:eastAsia="ar-SA"/>
        </w:rPr>
        <w:t>Koszty emisji samorządowych papierów wartościowych oraz inne opłaty i prowizje</w:t>
      </w:r>
      <w:r>
        <w:rPr>
          <w:rFonts w:eastAsia="Calibri" w:cs="Times New Roman"/>
          <w:lang w:eastAsia="ar-SA"/>
        </w:rPr>
        <w:t>;</w:t>
      </w:r>
      <w:r w:rsidRPr="00333C71">
        <w:rPr>
          <w:rFonts w:eastAsia="Calibri" w:cs="Times New Roman"/>
          <w:lang w:eastAsia="ar-SA"/>
        </w:rPr>
        <w:t xml:space="preserve"> </w:t>
      </w:r>
    </w:p>
    <w:p w:rsidR="00054222" w:rsidRPr="00501975" w:rsidRDefault="00054222" w:rsidP="00054222">
      <w:pPr>
        <w:numPr>
          <w:ilvl w:val="0"/>
          <w:numId w:val="2"/>
        </w:numPr>
        <w:spacing w:after="120" w:line="259" w:lineRule="auto"/>
        <w:ind w:left="567" w:hanging="567"/>
        <w:jc w:val="both"/>
        <w:rPr>
          <w:rFonts w:eastAsia="Calibri" w:cs="Times New Roman"/>
          <w:lang w:eastAsia="ar-SA"/>
        </w:rPr>
      </w:pPr>
      <w:r w:rsidRPr="00501975">
        <w:rPr>
          <w:rFonts w:eastAsia="Calibri" w:cs="Times New Roman"/>
          <w:lang w:eastAsia="ar-SA"/>
        </w:rPr>
        <w:t xml:space="preserve">klasyfikowanie dochodów z tytułu sprzedaży nieruchomości w </w:t>
      </w:r>
      <w:r w:rsidRPr="00501975">
        <w:rPr>
          <w:rFonts w:eastAsia="Calibri"/>
          <w:lang w:eastAsia="ar-SA"/>
        </w:rPr>
        <w:t>§ 077;</w:t>
      </w:r>
    </w:p>
    <w:p w:rsidR="00054222" w:rsidRPr="00501975" w:rsidRDefault="00054222" w:rsidP="00054222">
      <w:pPr>
        <w:numPr>
          <w:ilvl w:val="0"/>
          <w:numId w:val="2"/>
        </w:numPr>
        <w:spacing w:after="120" w:line="259" w:lineRule="auto"/>
        <w:ind w:left="567" w:hanging="567"/>
        <w:jc w:val="both"/>
        <w:rPr>
          <w:rFonts w:eastAsia="Calibri" w:cs="Times New Roman"/>
          <w:lang w:eastAsia="ar-SA"/>
        </w:rPr>
      </w:pPr>
      <w:r w:rsidRPr="00501975">
        <w:rPr>
          <w:rFonts w:eastAsia="Calibri" w:cs="Times New Roman"/>
          <w:lang w:eastAsia="ar-SA"/>
        </w:rPr>
        <w:t xml:space="preserve">ujmowanie wydatków z tytułu dotacji oświatowej przekazywanej na uczniów wymagających stosowania specjalnej organizacji nauki i metod pracy </w:t>
      </w:r>
      <w:r>
        <w:rPr>
          <w:rFonts w:eastAsia="Calibri" w:cs="Times New Roman"/>
          <w:lang w:eastAsia="ar-SA"/>
        </w:rPr>
        <w:br/>
      </w:r>
      <w:r w:rsidRPr="00501975">
        <w:rPr>
          <w:rFonts w:eastAsia="Calibri" w:cs="Times New Roman"/>
          <w:lang w:eastAsia="ar-SA"/>
        </w:rPr>
        <w:t xml:space="preserve">w rozdziale 80149 - Realizacja zadań wymagających stosowania specjalnej organizacji nauki i metod pracy dla dzieci w przedszkolach, oddziałach przedszkolnych w szkołach podstawowych i innych formach wychowania przedszkolnego. </w:t>
      </w:r>
    </w:p>
    <w:p w:rsidR="00054222" w:rsidRPr="00501975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B40F83">
        <w:rPr>
          <w:rFonts w:eastAsia="Calibri" w:cs="Cambria"/>
        </w:rPr>
        <w:t xml:space="preserve">Rozważyć zmianę modelu księgowania podatku </w:t>
      </w:r>
      <w:r>
        <w:rPr>
          <w:rFonts w:eastAsia="Calibri" w:cs="Cambria"/>
        </w:rPr>
        <w:t>od towarów i usług</w:t>
      </w:r>
      <w:r w:rsidRPr="00501975">
        <w:rPr>
          <w:rFonts w:eastAsia="Calibri" w:cs="Cambria"/>
        </w:rPr>
        <w:t xml:space="preserve"> na bardziej czytelny</w:t>
      </w:r>
      <w:r>
        <w:rPr>
          <w:rFonts w:eastAsia="Calibri" w:cs="Cambria"/>
        </w:rPr>
        <w:t>, pomijając niedozwolone księgowania, uwzględniając uwagi zawarte w pierwszej części wystąpienia pokontrolnego.</w:t>
      </w:r>
    </w:p>
    <w:p w:rsidR="00054222" w:rsidRPr="00BA1343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BA1343">
        <w:rPr>
          <w:rFonts w:eastAsia="Calibri" w:cs="Times New Roman"/>
        </w:rPr>
        <w:t>Sporządzać sprawozdania jednostkowe Rb-27S – dla jednostki samorządu terytorialnego, zgodnie z przepisami rozporządzenia Ministra Finansów z dnia 11 stycznia 2022 r</w:t>
      </w:r>
      <w:r>
        <w:rPr>
          <w:rFonts w:eastAsia="Calibri" w:cs="Times New Roman"/>
        </w:rPr>
        <w:t>oku</w:t>
      </w:r>
      <w:r w:rsidRPr="00BA1343">
        <w:rPr>
          <w:rFonts w:eastAsia="Calibri" w:cs="Times New Roman"/>
        </w:rPr>
        <w:t xml:space="preserve"> w sprawie sprawozdawczości budżetowej, jako sprawozdania jednostki budżetowej i organu, obejmujące połączone dane ewidencji urzędu JST i organu. </w:t>
      </w:r>
    </w:p>
    <w:p w:rsidR="00054222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B522E9">
        <w:rPr>
          <w:rFonts w:eastAsia="Calibri" w:cs="Times New Roman"/>
        </w:rPr>
        <w:t xml:space="preserve">Dokonać aktualizacji uchwały nr XIX/181/2016 Rady Miejskiej w Zelowie </w:t>
      </w:r>
      <w:r>
        <w:rPr>
          <w:rFonts w:eastAsia="Calibri" w:cs="Times New Roman"/>
        </w:rPr>
        <w:br/>
      </w:r>
      <w:r w:rsidRPr="00B522E9">
        <w:rPr>
          <w:rFonts w:eastAsia="Calibri" w:cs="Times New Roman"/>
        </w:rPr>
        <w:t>z dnia 13 października 2016 roku w sprawie zapewnienia obsługi administracyjnej, finansowej i organizacyjnej szkół i placówek oświatowych prowadzonych przez Gminę Zelów</w:t>
      </w:r>
      <w:r>
        <w:rPr>
          <w:rFonts w:eastAsia="Calibri" w:cs="Times New Roman"/>
        </w:rPr>
        <w:t>, mając na uwadze zmiany w zakresie jednostek organizacyjnych objętych faktycznie wspólną obsługą.</w:t>
      </w:r>
    </w:p>
    <w:p w:rsidR="00054222" w:rsidRPr="00BA1343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BA1343">
        <w:rPr>
          <w:rFonts w:eastAsia="Times New Roman" w:cs="Arial Unicode MS"/>
          <w:color w:val="000000"/>
          <w:lang w:eastAsia="ar-SA"/>
        </w:rPr>
        <w:lastRenderedPageBreak/>
        <w:t>Zapewnić sporządzanie sprawozdań budżetowych i finansowych w zakresie jednostek organizacyjnych obsługiwanych przez Urząd Miejski w Zelowie przez osobę do tego upoważnioną przepisami prawa, czyli przez kierownika jednostki obsługującej (Burmistrza Miasta).</w:t>
      </w:r>
    </w:p>
    <w:p w:rsidR="00054222" w:rsidRPr="00BA1343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BA1343">
        <w:rPr>
          <w:rFonts w:eastAsia="Calibri" w:cs="Times New Roman"/>
        </w:rPr>
        <w:t>Zapewnić sporządzanie</w:t>
      </w:r>
      <w:r>
        <w:rPr>
          <w:rFonts w:eastAsia="Calibri" w:cs="Times New Roman"/>
        </w:rPr>
        <w:t xml:space="preserve"> przez jednostki organizacyjne</w:t>
      </w:r>
      <w:r w:rsidRPr="00BA1343">
        <w:rPr>
          <w:rFonts w:eastAsia="Calibri" w:cs="Times New Roman"/>
        </w:rPr>
        <w:t xml:space="preserve"> sprawozdań jednostkowych Rb-28S </w:t>
      </w:r>
      <w:r>
        <w:rPr>
          <w:rFonts w:eastAsia="Calibri" w:cs="Times New Roman"/>
        </w:rPr>
        <w:t xml:space="preserve">- </w:t>
      </w:r>
      <w:r w:rsidRPr="00BA1343">
        <w:rPr>
          <w:rFonts w:eastAsia="Calibri" w:cs="Times New Roman"/>
        </w:rPr>
        <w:t>obejmujących wszystkie wydatki wykonane przez daną jednostkę organizacyjną.</w:t>
      </w:r>
    </w:p>
    <w:p w:rsidR="00054222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>
        <w:rPr>
          <w:rFonts w:eastAsia="Calibri" w:cs="Times New Roman"/>
        </w:rPr>
        <w:t>Zapewnić prawidłowe rozliczanie źródeł przychodów z lat poprzednich pozostających do wykorzystania w danym roku budżetowym, prezentowanych w sprawozdaniu Rb-NDS, w pozycji wykonanie,</w:t>
      </w:r>
      <w:r w:rsidRPr="008917BA">
        <w:rPr>
          <w:rFonts w:eastAsia="Calibri" w:cs="Cambria"/>
        </w:rPr>
        <w:t xml:space="preserve"> </w:t>
      </w:r>
      <w:r>
        <w:rPr>
          <w:rFonts w:eastAsia="Calibri" w:cs="Cambria"/>
        </w:rPr>
        <w:t>uwzględniając uwagi zawarte w pierwszej części wystąpienia pokontrolnego</w:t>
      </w:r>
      <w:r>
        <w:rPr>
          <w:rFonts w:eastAsia="Calibri" w:cs="Times New Roman"/>
        </w:rPr>
        <w:t xml:space="preserve">. </w:t>
      </w:r>
    </w:p>
    <w:p w:rsidR="00054222" w:rsidRPr="008917BA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362B96">
        <w:rPr>
          <w:rFonts w:eastAsia="Calibri" w:cs="Times New Roman"/>
        </w:rPr>
        <w:t>Zapewnić prawidłowe sporządzanie bilansu z wykonania budżetu Gminy Zelów, poprzez wykazywanie danych wynikających z ewidencji księgowej organu oraz zgodnie z zasadami wynikającymi z obowiązującej w jednostce polity</w:t>
      </w:r>
      <w:r>
        <w:rPr>
          <w:rFonts w:eastAsia="Calibri" w:cs="Times New Roman"/>
        </w:rPr>
        <w:t>ki</w:t>
      </w:r>
      <w:r w:rsidRPr="00362B96">
        <w:rPr>
          <w:rFonts w:eastAsia="Calibri" w:cs="Times New Roman"/>
        </w:rPr>
        <w:t xml:space="preserve"> rachunkowości. </w:t>
      </w:r>
      <w:r w:rsidRPr="008917BA">
        <w:rPr>
          <w:rFonts w:eastAsia="Calibri" w:cs="Arial Unicode MS"/>
          <w:color w:val="000000"/>
        </w:rPr>
        <w:t xml:space="preserve">Prowadzić ewidencję księgową w sposób dający możliwość ustalenia stanu zobowiązań w podziale na zobowiązania finansowe krótkoterminowe i długoterminowe. </w:t>
      </w:r>
    </w:p>
    <w:p w:rsidR="00054222" w:rsidRPr="008917BA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AB3934">
        <w:rPr>
          <w:rFonts w:eastAsia="Calibri" w:cs="Arial Unicode MS"/>
          <w:lang w:eastAsia="ar-SA"/>
        </w:rPr>
        <w:t xml:space="preserve">W bilansie urzędu </w:t>
      </w:r>
      <w:r>
        <w:rPr>
          <w:rFonts w:eastAsia="Calibri" w:cs="Arial Unicode MS"/>
          <w:lang w:eastAsia="ar-SA"/>
        </w:rPr>
        <w:t>JST</w:t>
      </w:r>
      <w:r w:rsidRPr="00AB3934">
        <w:rPr>
          <w:rFonts w:eastAsia="Calibri" w:cs="Arial Unicode MS"/>
          <w:lang w:eastAsia="ar-SA"/>
        </w:rPr>
        <w:t xml:space="preserve"> ujmować wszystkie salda wynikające z kont księgowych</w:t>
      </w:r>
      <w:r>
        <w:rPr>
          <w:rFonts w:eastAsia="Calibri" w:cs="Arial Unicode MS"/>
          <w:lang w:eastAsia="ar-SA"/>
        </w:rPr>
        <w:t>, ujawnianych w tym bilansie</w:t>
      </w:r>
      <w:r w:rsidRPr="00AB3934">
        <w:rPr>
          <w:rFonts w:eastAsia="Calibri" w:cs="Arial Unicode MS"/>
          <w:lang w:eastAsia="ar-SA"/>
        </w:rPr>
        <w:t>.</w:t>
      </w:r>
    </w:p>
    <w:p w:rsidR="00054222" w:rsidRPr="008917BA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8917BA">
        <w:rPr>
          <w:rFonts w:eastAsia="Calibri" w:cs="A"/>
        </w:rPr>
        <w:t>Przestrzegać wewnętrznych unormowań dotyczących kontroli dokumentów finansowo-księgowych, zgodnie z którymi jedna i ta sama osoba nie może sporządzać raportów kasowych i jednocześnie kontrolować pod względem formalno-rachunkowym dołączonych do nich dowodów księgowych. Zobowiązać pracowników upoważnionych do prowadzenia kontroli raportów kasowych, do jej odnotowania poprzez złożenie podpisu w wyznaczonym do tego miejscu.</w:t>
      </w:r>
    </w:p>
    <w:p w:rsidR="00054222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1F5FE3">
        <w:rPr>
          <w:rFonts w:eastAsia="Calibri"/>
          <w:bCs/>
          <w:szCs w:val="22"/>
          <w:lang w:eastAsia="ar-SA"/>
        </w:rPr>
        <w:t xml:space="preserve">Przestrzegać wymogów odnośnie dowodów wypłaty KW określonych w § 9 </w:t>
      </w:r>
      <w:r>
        <w:rPr>
          <w:rFonts w:eastAsia="Calibri"/>
          <w:bCs/>
          <w:szCs w:val="22"/>
          <w:lang w:eastAsia="ar-SA"/>
        </w:rPr>
        <w:br/>
      </w:r>
      <w:r w:rsidRPr="001F5FE3">
        <w:rPr>
          <w:rFonts w:eastAsia="Calibri"/>
          <w:bCs/>
          <w:szCs w:val="22"/>
          <w:lang w:eastAsia="ar-SA"/>
        </w:rPr>
        <w:t>ust. 3 obowiązującej w jednostce Instrukcji w sprawie gospodarki kasowej.</w:t>
      </w:r>
    </w:p>
    <w:p w:rsidR="00054222" w:rsidRPr="008917BA" w:rsidRDefault="00054222" w:rsidP="00054222">
      <w:pPr>
        <w:numPr>
          <w:ilvl w:val="0"/>
          <w:numId w:val="3"/>
        </w:numPr>
        <w:suppressAutoHyphens/>
        <w:spacing w:after="160" w:line="259" w:lineRule="auto"/>
        <w:ind w:left="567" w:hanging="567"/>
        <w:jc w:val="both"/>
        <w:rPr>
          <w:rFonts w:eastAsia="Calibri" w:cs="Times New Roman"/>
        </w:rPr>
      </w:pPr>
      <w:r w:rsidRPr="003D5371">
        <w:rPr>
          <w:rFonts w:eastAsia="Times New Roman" w:cs="Arial Unicode MS"/>
          <w:color w:val="000000"/>
          <w:lang w:eastAsia="ar-SA"/>
        </w:rPr>
        <w:t xml:space="preserve">Dokonać </w:t>
      </w:r>
      <w:r>
        <w:rPr>
          <w:rFonts w:eastAsia="Times New Roman" w:cs="Arial Unicode MS"/>
          <w:color w:val="000000"/>
          <w:lang w:eastAsia="ar-SA"/>
        </w:rPr>
        <w:t>a</w:t>
      </w:r>
      <w:r w:rsidRPr="003D5371">
        <w:rPr>
          <w:rFonts w:eastAsia="Times New Roman" w:cs="Arial Unicode MS"/>
          <w:color w:val="000000"/>
          <w:lang w:eastAsia="ar-SA"/>
        </w:rPr>
        <w:t>nalizy przyjętej metodologii prognozowania dochodów majątkowych w wieloletniej prognozie finansowej</w:t>
      </w:r>
      <w:r>
        <w:rPr>
          <w:rFonts w:eastAsia="Times New Roman" w:cs="Arial Unicode MS"/>
          <w:color w:val="000000"/>
          <w:lang w:eastAsia="ar-SA"/>
        </w:rPr>
        <w:t>,</w:t>
      </w:r>
      <w:r w:rsidRPr="003D5371">
        <w:rPr>
          <w:rFonts w:eastAsia="Times New Roman" w:cs="Arial Unicode MS"/>
          <w:color w:val="000000"/>
          <w:lang w:eastAsia="ar-SA"/>
        </w:rPr>
        <w:t xml:space="preserve"> pod kątem </w:t>
      </w:r>
      <w:r>
        <w:rPr>
          <w:rFonts w:eastAsia="Times New Roman" w:cs="Arial Unicode MS"/>
          <w:color w:val="000000"/>
          <w:lang w:eastAsia="ar-SA"/>
        </w:rPr>
        <w:t xml:space="preserve">wymogu </w:t>
      </w:r>
      <w:r w:rsidRPr="003D5371">
        <w:rPr>
          <w:rFonts w:eastAsia="Times New Roman" w:cs="Arial Unicode MS"/>
          <w:color w:val="000000"/>
          <w:lang w:eastAsia="ar-SA"/>
        </w:rPr>
        <w:t>realistyczności,</w:t>
      </w:r>
      <w:r>
        <w:rPr>
          <w:rFonts w:eastAsia="Times New Roman" w:cs="Arial Unicode MS"/>
          <w:color w:val="000000"/>
          <w:lang w:eastAsia="ar-SA"/>
        </w:rPr>
        <w:br/>
      </w:r>
      <w:r w:rsidRPr="003D5371">
        <w:rPr>
          <w:rFonts w:eastAsia="Times New Roman" w:cs="Arial Unicode MS"/>
          <w:color w:val="000000"/>
          <w:lang w:eastAsia="ar-SA"/>
        </w:rPr>
        <w:t>o któr</w:t>
      </w:r>
      <w:r>
        <w:rPr>
          <w:rFonts w:eastAsia="Times New Roman" w:cs="Arial Unicode MS"/>
          <w:color w:val="000000"/>
          <w:lang w:eastAsia="ar-SA"/>
        </w:rPr>
        <w:t>ym</w:t>
      </w:r>
      <w:r w:rsidRPr="003D5371">
        <w:rPr>
          <w:rFonts w:eastAsia="Times New Roman" w:cs="Arial Unicode MS"/>
          <w:color w:val="000000"/>
          <w:lang w:eastAsia="ar-SA"/>
        </w:rPr>
        <w:t xml:space="preserve"> mowa w art. 226 ust. 1 ustawy o finansach publicznych. </w:t>
      </w:r>
    </w:p>
    <w:p w:rsidR="00054222" w:rsidRPr="008917BA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333C71">
        <w:rPr>
          <w:rFonts w:eastAsia="Times New Roman" w:cs="Arial Unicode MS"/>
          <w:iCs/>
          <w:color w:val="000000"/>
          <w:lang w:eastAsia="ar-SA"/>
        </w:rPr>
        <w:t xml:space="preserve">Zapewnić sporządzanie objaśnień do wieloletniej prognozy finansowej, </w:t>
      </w:r>
      <w:r>
        <w:rPr>
          <w:rFonts w:eastAsia="Times New Roman" w:cs="Arial Unicode MS"/>
          <w:iCs/>
          <w:color w:val="000000"/>
          <w:lang w:eastAsia="ar-SA"/>
        </w:rPr>
        <w:br/>
      </w:r>
      <w:r w:rsidRPr="00333C71">
        <w:rPr>
          <w:rFonts w:eastAsia="Times New Roman" w:cs="Arial Unicode MS"/>
          <w:iCs/>
          <w:color w:val="000000"/>
          <w:lang w:eastAsia="ar-SA"/>
        </w:rPr>
        <w:t xml:space="preserve">z których wynikają ujęte w prognozie wartości, </w:t>
      </w:r>
      <w:r>
        <w:rPr>
          <w:rFonts w:eastAsia="Times New Roman" w:cs="Arial Unicode MS"/>
          <w:iCs/>
          <w:color w:val="000000"/>
          <w:lang w:eastAsia="ar-SA"/>
        </w:rPr>
        <w:t xml:space="preserve">jak równie przyjęte założenia metodologiczne prognozowania. 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3D5371">
        <w:rPr>
          <w:rFonts w:eastAsia="Times New Roman"/>
        </w:rPr>
        <w:t>Podjąć działania w celu wykonania obowiązku organu podatkowego, o którym mowa w art. 7a ust. 1 ustawy z dnia 12 stycznia 1991 r</w:t>
      </w:r>
      <w:r>
        <w:rPr>
          <w:rFonts w:eastAsia="Times New Roman"/>
        </w:rPr>
        <w:t>oku</w:t>
      </w:r>
      <w:r w:rsidRPr="003D5371">
        <w:rPr>
          <w:rFonts w:eastAsia="Times New Roman"/>
        </w:rPr>
        <w:t xml:space="preserve"> o podatkach </w:t>
      </w:r>
      <w:r>
        <w:rPr>
          <w:rFonts w:eastAsia="Times New Roman"/>
        </w:rPr>
        <w:br/>
      </w:r>
      <w:r w:rsidRPr="003D5371">
        <w:rPr>
          <w:rFonts w:eastAsia="Times New Roman"/>
        </w:rPr>
        <w:t>i opłatach lokalnych, zgodnie z którym – dla potrzeb wymiaru i poboru podatku od nieruchomości oraz podatku rolnego i podatku leśnego organy podatkowe prowadzą ewidencję podatkową nieruchomości w systemie informatycznym.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3D5371">
        <w:rPr>
          <w:rFonts w:eastAsia="Times New Roman"/>
        </w:rPr>
        <w:t>Zapewnić dokonywanie czynności sprawdzających w stosunku do składanych przez podatników podatku od nieruchomości deklaracji podatkowych, na podstawie art. 272 ustawy z dnia 29 sierpnia 1997 r</w:t>
      </w:r>
      <w:r>
        <w:rPr>
          <w:rFonts w:eastAsia="Times New Roman"/>
        </w:rPr>
        <w:t>oku</w:t>
      </w:r>
      <w:r w:rsidRPr="003D5371">
        <w:rPr>
          <w:rFonts w:eastAsia="Times New Roman"/>
        </w:rPr>
        <w:t xml:space="preserve"> Ordynacja podatkowa. W razie wątpliwości, co do poprawności złożonej deklaracji, stosownie do art. 274a § 2 ustawy, wzywać podatników do udzielenia, w wyznaczonym </w:t>
      </w:r>
      <w:r w:rsidRPr="003D5371">
        <w:rPr>
          <w:rFonts w:eastAsia="Times New Roman"/>
        </w:rPr>
        <w:lastRenderedPageBreak/>
        <w:t>terminie, niezbędnych wyjaśnień lub uzupełnienia deklaracji, wskazując przyczyny podania w wątpliwość rzetelności danych w niej zawartych.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3D5371">
        <w:rPr>
          <w:rFonts w:eastAsia="Times New Roman"/>
        </w:rPr>
        <w:t>Podjąć czynności w celu wyjaśnienia prawidłowości opodatkowania podatników wskazanych w pierwszej części wystąpienia pokontrolnego. O podjętych czynnościach i ich rezultatach poinformować szczegółowo RIO w Łodzi.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>
        <w:rPr>
          <w:rFonts w:eastAsia="Times New Roman"/>
        </w:rPr>
        <w:t>P</w:t>
      </w:r>
      <w:r w:rsidRPr="00B56353">
        <w:rPr>
          <w:rFonts w:eastAsia="Times New Roman"/>
        </w:rPr>
        <w:t xml:space="preserve">odejmować </w:t>
      </w:r>
      <w:r>
        <w:rPr>
          <w:rFonts w:eastAsia="Times New Roman"/>
        </w:rPr>
        <w:t xml:space="preserve">systematycznie </w:t>
      </w:r>
      <w:r w:rsidRPr="00B56353">
        <w:rPr>
          <w:rFonts w:eastAsia="Times New Roman"/>
        </w:rPr>
        <w:t xml:space="preserve">czynności windykacyjne, na podstawie przepisów rozporządzenia Ministra Finansów, Funduszy i Polityki Regionalnej z dnia </w:t>
      </w:r>
      <w:r w:rsidRPr="00B56353">
        <w:rPr>
          <w:rFonts w:eastAsia="Times New Roman"/>
        </w:rPr>
        <w:br/>
        <w:t>18 listopada 2020 r</w:t>
      </w:r>
      <w:r>
        <w:rPr>
          <w:rFonts w:eastAsia="Times New Roman"/>
        </w:rPr>
        <w:t>oku</w:t>
      </w:r>
      <w:r w:rsidRPr="00B56353">
        <w:rPr>
          <w:rFonts w:eastAsia="Times New Roman"/>
        </w:rPr>
        <w:t xml:space="preserve"> w sprawie postępowania wierzycieli należności pieniężnych</w:t>
      </w:r>
      <w:r w:rsidRPr="004B28E4">
        <w:t xml:space="preserve">. 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6C3804">
        <w:rPr>
          <w:rFonts w:eastAsia="Times New Roman"/>
        </w:rPr>
        <w:t xml:space="preserve">Sporządzać plan wykorzystania gminnego zasobu nieruchomości na okres </w:t>
      </w:r>
      <w:r>
        <w:rPr>
          <w:rFonts w:eastAsia="Times New Roman"/>
        </w:rPr>
        <w:br/>
      </w:r>
      <w:r w:rsidRPr="006C3804">
        <w:rPr>
          <w:rFonts w:eastAsia="Times New Roman"/>
        </w:rPr>
        <w:t xml:space="preserve">3 lat, zgodnie z wymogiem określonym w art. 25 ust. 2a ustawy z dnia </w:t>
      </w:r>
      <w:r>
        <w:rPr>
          <w:rFonts w:eastAsia="Times New Roman"/>
        </w:rPr>
        <w:br/>
      </w:r>
      <w:r w:rsidRPr="006C3804">
        <w:rPr>
          <w:rFonts w:eastAsia="Times New Roman"/>
        </w:rPr>
        <w:t>21 sierpnia 1997 r</w:t>
      </w:r>
      <w:r>
        <w:rPr>
          <w:rFonts w:eastAsia="Times New Roman"/>
        </w:rPr>
        <w:t>oku</w:t>
      </w:r>
      <w:r w:rsidRPr="006C3804">
        <w:rPr>
          <w:rFonts w:eastAsia="Times New Roman"/>
        </w:rPr>
        <w:t xml:space="preserve"> o gospodarce nieruchomościami.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6C3804">
        <w:rPr>
          <w:rFonts w:eastAsia="Times New Roman"/>
        </w:rPr>
        <w:t xml:space="preserve">Nie pobierać kosztów operatu szacunkowego od osób nabywających lokale </w:t>
      </w:r>
      <w:r w:rsidRPr="006C3804">
        <w:rPr>
          <w:rFonts w:eastAsia="Times New Roman"/>
        </w:rPr>
        <w:br/>
        <w:t>w trycie bezprzetargowym.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6C3804">
        <w:rPr>
          <w:rFonts w:eastAsia="Times New Roman"/>
        </w:rPr>
        <w:t>Rozważyć podjęcie czynności w celu aktualizacji opłat rocznych z tytułu użytkowania wieczystego, na podstawie art. 77 ust. 1 ustawy o gospodarce nieruchomościami.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6C3804">
        <w:rPr>
          <w:rFonts w:eastAsia="Times New Roman"/>
        </w:rPr>
        <w:t xml:space="preserve">Podjąć czynności zmierzające do podjęcia przez organ stanowiący uchwały dotyczącej wysokości stawki procentowej opłaty </w:t>
      </w:r>
      <w:proofErr w:type="spellStart"/>
      <w:r w:rsidRPr="006C3804">
        <w:rPr>
          <w:rFonts w:eastAsia="Times New Roman"/>
        </w:rPr>
        <w:t>adiacenckiej</w:t>
      </w:r>
      <w:proofErr w:type="spellEnd"/>
      <w:r w:rsidRPr="006C3804">
        <w:rPr>
          <w:rFonts w:eastAsia="Times New Roman"/>
        </w:rPr>
        <w:t xml:space="preserve"> z tytułu wzrostu wartości nieruchomości spowodowanego jej podziałem, na podstawie art. 98a ustawy o gospodarce nieruchomościami.</w:t>
      </w:r>
    </w:p>
    <w:p w:rsidR="00054222" w:rsidRPr="006C3804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Arial Unicode MS"/>
          <w:color w:val="000000"/>
          <w:lang w:eastAsia="ar-SA"/>
        </w:rPr>
      </w:pPr>
      <w:r w:rsidRPr="006C3804">
        <w:rPr>
          <w:rFonts w:eastAsia="Times New Roman"/>
        </w:rPr>
        <w:t xml:space="preserve">Podejmować czynności w celu wyjaśnienia istnienia przesłanek uzasadniających ustalenie opłaty </w:t>
      </w:r>
      <w:proofErr w:type="spellStart"/>
      <w:r w:rsidRPr="006C3804">
        <w:rPr>
          <w:rFonts w:eastAsia="Times New Roman"/>
        </w:rPr>
        <w:t>adiacenckiej</w:t>
      </w:r>
      <w:proofErr w:type="spellEnd"/>
      <w:r w:rsidRPr="006C3804">
        <w:rPr>
          <w:rFonts w:eastAsia="Times New Roman"/>
        </w:rPr>
        <w:t xml:space="preserve"> po stworzeniu warunków do podłączenia nieruchomości do poszczególnych urządzeń infrastruktury technicznej albo po stworzeniu warunków do korzystania z wybudowanej drogi</w:t>
      </w:r>
      <w:r>
        <w:rPr>
          <w:rFonts w:eastAsia="Times New Roman"/>
        </w:rPr>
        <w:t xml:space="preserve">, na podstawie przepisów art. 144 i nast. ustawy o gospodarce nieruchomościami. </w:t>
      </w:r>
    </w:p>
    <w:p w:rsidR="00054222" w:rsidRPr="00650751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</w:pPr>
      <w:r w:rsidRPr="00650751">
        <w:t xml:space="preserve">Zapewnić przestrzeganie postanowień Regulaminu konsultowania </w:t>
      </w:r>
      <w:r w:rsidRPr="00650751">
        <w:br/>
        <w:t>z organizacjami pozarządowymi i podmiotami, o których mowa w art. 3 ust. 3 ustawy z dnia 24 kwietnia 2003 r</w:t>
      </w:r>
      <w:r>
        <w:t>oku</w:t>
      </w:r>
      <w:r w:rsidRPr="00650751">
        <w:t xml:space="preserve"> o działalności pożytku publicznego </w:t>
      </w:r>
      <w:r>
        <w:br/>
      </w:r>
      <w:r w:rsidRPr="00650751">
        <w:t>i o wolontariacie</w:t>
      </w:r>
      <w:r>
        <w:t>,</w:t>
      </w:r>
      <w:r w:rsidRPr="00650751">
        <w:t xml:space="preserve"> projektów aktów prawa miejscowego w dziedzinach dotyczących działalności statutowej tych organizacji.</w:t>
      </w:r>
    </w:p>
    <w:p w:rsidR="00054222" w:rsidRPr="00F32D8B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</w:pPr>
      <w:r>
        <w:t>Przestrzegać ustawy</w:t>
      </w:r>
      <w:r w:rsidRPr="00F32D8B">
        <w:t xml:space="preserve"> o działalności pożytku publicznego i o wolontariacie, poprzez zamieszczanie w ogłoszeniach o otwartych konkursach ofert wszystkich informacji wskazanyc</w:t>
      </w:r>
      <w:r>
        <w:t xml:space="preserve">h w art. 13 ust.2 ww. ustawy. </w:t>
      </w:r>
    </w:p>
    <w:p w:rsidR="00054222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</w:pPr>
      <w:r>
        <w:t xml:space="preserve">Podjąć czynności zmierzające do </w:t>
      </w:r>
      <w:r w:rsidRPr="00F32D8B">
        <w:t xml:space="preserve">wyjaśnienia </w:t>
      </w:r>
      <w:r>
        <w:t xml:space="preserve">prawidłowości </w:t>
      </w:r>
      <w:r w:rsidRPr="00F32D8B">
        <w:t>rozlicz</w:t>
      </w:r>
      <w:r>
        <w:t xml:space="preserve">enia </w:t>
      </w:r>
      <w:r w:rsidRPr="00F32D8B">
        <w:t xml:space="preserve">przez Zelowski Klub Sportowy „Włókniarz” </w:t>
      </w:r>
      <w:r>
        <w:t xml:space="preserve">wydatków na opłacenie </w:t>
      </w:r>
      <w:r w:rsidRPr="00F32D8B">
        <w:t>polis ubezpieczenia opisanych w pierwszej części wystąpienia pokontrolnego</w:t>
      </w:r>
      <w:r>
        <w:t xml:space="preserve">, uwzględniając uwagi tam zawarte. W sytuacji stwierdzenia wykorzystania części środków dotacyjnych niezgodnie z przeznaczeniem, dochodzić ich zwrotu do budżetu. </w:t>
      </w:r>
    </w:p>
    <w:p w:rsidR="00054222" w:rsidRPr="00F32D8B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</w:pPr>
      <w:r>
        <w:t>O</w:t>
      </w:r>
      <w:r w:rsidRPr="00F32D8B">
        <w:t xml:space="preserve">pracować metodologię wyliczenia wydatków bieżących ponoszonych z tytułu wspólnej obsługi administracyjnej, finansowej i organizacyjnej jednostek oświatowych w podziale na przedszkola i szkoły </w:t>
      </w:r>
      <w:r>
        <w:t xml:space="preserve">- </w:t>
      </w:r>
      <w:r w:rsidRPr="00F32D8B">
        <w:t>w celu prawidłowego ustalenia podstawowej kwoty dotacji na uczni</w:t>
      </w:r>
      <w:r>
        <w:t>ów niepublicznych przedszkoli.</w:t>
      </w:r>
    </w:p>
    <w:p w:rsidR="00054222" w:rsidRPr="00F32D8B" w:rsidRDefault="00054222" w:rsidP="00054222">
      <w:pPr>
        <w:numPr>
          <w:ilvl w:val="0"/>
          <w:numId w:val="3"/>
        </w:numPr>
        <w:spacing w:after="120" w:line="259" w:lineRule="auto"/>
        <w:ind w:left="567" w:hanging="567"/>
        <w:jc w:val="both"/>
      </w:pPr>
      <w:r w:rsidRPr="00F32D8B">
        <w:lastRenderedPageBreak/>
        <w:t>Udzielając z budżetu Gminy Zelów dotacji na ucznia niepublicznego przedszkola prowadzonego przez osobę prawną bądź osobę fizyczną, przestrzegać przepisów ustawy z dnia 27 października 2017 r</w:t>
      </w:r>
      <w:r>
        <w:t>oku</w:t>
      </w:r>
      <w:r w:rsidRPr="00F32D8B">
        <w:t xml:space="preserve"> </w:t>
      </w:r>
      <w:r>
        <w:br/>
      </w:r>
      <w:r w:rsidRPr="00F32D8B">
        <w:t xml:space="preserve">o finansowaniu zadań oświatowych, w szczególności poprzez: </w:t>
      </w:r>
    </w:p>
    <w:p w:rsidR="00054222" w:rsidRDefault="00054222" w:rsidP="00054222">
      <w:pPr>
        <w:numPr>
          <w:ilvl w:val="0"/>
          <w:numId w:val="5"/>
        </w:numPr>
        <w:spacing w:after="120" w:line="259" w:lineRule="auto"/>
        <w:ind w:left="567" w:hanging="567"/>
        <w:jc w:val="both"/>
      </w:pPr>
      <w:r w:rsidRPr="00F32D8B">
        <w:t xml:space="preserve">ustalanie podstawowej kwoty dotacji dla przedszkoli na podstawie zaplanowanych na dany rok budżetowy dochodów i wydatków bieżących, </w:t>
      </w:r>
      <w:r>
        <w:br/>
      </w:r>
      <w:r w:rsidRPr="00F32D8B">
        <w:t xml:space="preserve">o których mowa w art. 12 ust. 1 ustawy </w:t>
      </w:r>
      <w:r w:rsidRPr="00F32D8B">
        <w:rPr>
          <w:u w:val="single"/>
        </w:rPr>
        <w:t>powiększonych o wydatki bieżące jednostki zapewniającej wspólną obsługę m.in. przedszkoli (tj. Urzędu)</w:t>
      </w:r>
      <w:r w:rsidRPr="00F32D8B">
        <w:t xml:space="preserve">, </w:t>
      </w:r>
      <w:r>
        <w:br/>
      </w:r>
      <w:r w:rsidRPr="00F32D8B">
        <w:t xml:space="preserve">o czym stanowi art. 9 ust.1 ustawy; </w:t>
      </w:r>
    </w:p>
    <w:p w:rsidR="00054222" w:rsidRDefault="00054222" w:rsidP="00054222">
      <w:pPr>
        <w:numPr>
          <w:ilvl w:val="0"/>
          <w:numId w:val="5"/>
        </w:numPr>
        <w:spacing w:after="120" w:line="259" w:lineRule="auto"/>
        <w:ind w:left="567" w:hanging="567"/>
        <w:jc w:val="both"/>
      </w:pPr>
      <w:r w:rsidRPr="00F32D8B">
        <w:t xml:space="preserve">dokonywanie pierwszej aktualizacji podstawowej kwoty dotacji zgodnie </w:t>
      </w:r>
      <w:r>
        <w:br/>
      </w:r>
      <w:r w:rsidRPr="00F32D8B">
        <w:t xml:space="preserve">z przepisami wynikającymi z art. 43 ust. 2 pkt 1 i 43 ust. 3 pkt 1 ustawy; </w:t>
      </w:r>
    </w:p>
    <w:p w:rsidR="00054222" w:rsidRDefault="00054222" w:rsidP="00054222">
      <w:pPr>
        <w:numPr>
          <w:ilvl w:val="0"/>
          <w:numId w:val="5"/>
        </w:numPr>
        <w:spacing w:after="120" w:line="259" w:lineRule="auto"/>
        <w:ind w:left="567" w:hanging="567"/>
        <w:jc w:val="both"/>
      </w:pPr>
      <w:r w:rsidRPr="00F32D8B">
        <w:t>dokonywanie aktualizacji kwoty dotacji na uczniów niepełnosprawnych uczęszczających do przedszkoli niepublicznych w związku ze zmianą kwoty przewidzianej w części oświatowej subwencji ogólnej dla jednostki samorządu terytorialnego na dany rok z zastosowaniem przepisów wynikających z art. 45 w powiąza</w:t>
      </w:r>
      <w:r>
        <w:t>niu z art. 43 ust. 4 ustawy.</w:t>
      </w:r>
    </w:p>
    <w:p w:rsidR="00054222" w:rsidRPr="0043467E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>
        <w:t xml:space="preserve">Sporządzać sprawozdania o udzielonych zamówieniach zgodnie z wymogami wynikającymi z przepisów rozporządzenia Ministra Rozwoju i Technologii </w:t>
      </w:r>
      <w:r>
        <w:br/>
        <w:t xml:space="preserve">z dnia 20 grudnia 2021 roku w sprawie zakresu informacji zawartych </w:t>
      </w:r>
      <w:r>
        <w:br/>
        <w:t>w rocznym sprawozdaniu o udzielonych zamówieniach, jego wzoru, sposobu przekazywania oraz sposobu i trybu jego korygowania.</w:t>
      </w:r>
    </w:p>
    <w:p w:rsidR="00054222" w:rsidRPr="001612A4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 w:cs="Times New Roman"/>
        </w:rPr>
      </w:pPr>
      <w:r w:rsidRPr="001612A4">
        <w:rPr>
          <w:rFonts w:cs="Times New Roman"/>
        </w:rPr>
        <w:t xml:space="preserve">Zapewnić rzetelną weryfikację składanych przez wykonawców podmiotowych środków dowodowych. </w:t>
      </w:r>
      <w:r w:rsidRPr="001612A4">
        <w:rPr>
          <w:rFonts w:cs="Times New Roman"/>
          <w:shd w:val="clear" w:color="auto" w:fill="FFFFFF"/>
        </w:rPr>
        <w:t xml:space="preserve">Jeżeli wykonawca nie złożył podmiotowych środków dowodowych lub są one niekompletne lub zawierają błędy, wzywać wykonawcę odpowiednio do ich złożenia, poprawienia lub uzupełnienia </w:t>
      </w:r>
      <w:r w:rsidRPr="001612A4">
        <w:rPr>
          <w:rFonts w:cs="Times New Roman"/>
          <w:shd w:val="clear" w:color="auto" w:fill="FFFFFF"/>
        </w:rPr>
        <w:br/>
        <w:t xml:space="preserve">w wyznaczonym terminie, chyba że </w:t>
      </w:r>
      <w:r w:rsidRPr="001612A4">
        <w:rPr>
          <w:rFonts w:eastAsia="Times New Roman" w:cs="Times New Roman"/>
          <w:lang w:eastAsia="pl-PL"/>
        </w:rPr>
        <w:t>1) wniosek o dopuszczenie do udziału w postępowaniu albo oferta wykonawcy podlegają odrzuceniu bez względu na ich złożenie, uzupełnienie lub poprawienie lub</w:t>
      </w:r>
      <w:bookmarkStart w:id="1" w:name="mip64558046"/>
      <w:bookmarkEnd w:id="1"/>
      <w:r w:rsidRPr="001612A4">
        <w:rPr>
          <w:rFonts w:eastAsia="Times New Roman" w:cs="Times New Roman"/>
          <w:lang w:eastAsia="pl-PL"/>
        </w:rPr>
        <w:t xml:space="preserve"> 2) zachodzą przesłanki unieważnienia postępowania (art. 128 w zw. z art. 266 </w:t>
      </w:r>
      <w:r w:rsidRPr="001612A4">
        <w:rPr>
          <w:rFonts w:cs="Times New Roman"/>
        </w:rPr>
        <w:t xml:space="preserve">ustawy z dnia </w:t>
      </w:r>
      <w:r w:rsidRPr="001612A4">
        <w:rPr>
          <w:rFonts w:cs="Times New Roman"/>
        </w:rPr>
        <w:br/>
        <w:t>11 września 2019 roku – Prawo zamówień publicznych).</w:t>
      </w:r>
    </w:p>
    <w:p w:rsidR="00054222" w:rsidRPr="008B5C73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 w:rsidRPr="008B5C73">
        <w:t xml:space="preserve">Egzekwować od wykonawców wnoszenie zabezpieczenia należytego wykonania umowy, które czyni zadość art. 449 ust. 2 ustawy Prawo zamówień publicznych, w szczególności zabezpiecza interesy </w:t>
      </w:r>
      <w:r>
        <w:t>Gminy Zelów</w:t>
      </w:r>
      <w:r w:rsidRPr="008B5C73">
        <w:t xml:space="preserve"> </w:t>
      </w:r>
      <w:r>
        <w:br/>
      </w:r>
      <w:r w:rsidRPr="008B5C73">
        <w:t xml:space="preserve">z tytułu niewykonania lub nienależytego </w:t>
      </w:r>
      <w:r>
        <w:t>wykonania umowy przez wykonawcę.</w:t>
      </w:r>
    </w:p>
    <w:p w:rsidR="00054222" w:rsidRPr="00DC2654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 w:rsidRPr="008B5C73">
        <w:rPr>
          <w:rFonts w:eastAsia="Calibri" w:cs="A"/>
        </w:rPr>
        <w:t xml:space="preserve">Środki trwałe nazywać w taki sposób, aby nazwy określały je w sposób niebudzący żadnych wątpliwości i </w:t>
      </w:r>
      <w:r>
        <w:rPr>
          <w:rFonts w:eastAsia="Calibri" w:cs="A"/>
        </w:rPr>
        <w:t xml:space="preserve">pozwalały jednoznacznie identyfikować </w:t>
      </w:r>
      <w:r w:rsidRPr="008B5C73">
        <w:rPr>
          <w:rFonts w:eastAsia="Calibri" w:cs="A"/>
        </w:rPr>
        <w:t xml:space="preserve"> środ</w:t>
      </w:r>
      <w:r>
        <w:rPr>
          <w:rFonts w:eastAsia="Calibri" w:cs="A"/>
        </w:rPr>
        <w:t>e</w:t>
      </w:r>
      <w:r w:rsidRPr="008B5C73">
        <w:rPr>
          <w:rFonts w:eastAsia="Calibri" w:cs="A"/>
        </w:rPr>
        <w:t>k trwał</w:t>
      </w:r>
      <w:r>
        <w:rPr>
          <w:rFonts w:eastAsia="Calibri" w:cs="A"/>
        </w:rPr>
        <w:t>y</w:t>
      </w:r>
      <w:r w:rsidRPr="008B5C73">
        <w:rPr>
          <w:rFonts w:eastAsia="Calibri" w:cs="A"/>
        </w:rPr>
        <w:t>.</w:t>
      </w:r>
    </w:p>
    <w:p w:rsidR="00054222" w:rsidRPr="00AA5E8E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 w:rsidRPr="00DC2654">
        <w:rPr>
          <w:rFonts w:eastAsia="Calibri" w:cs="A"/>
        </w:rPr>
        <w:t xml:space="preserve">Dostosować </w:t>
      </w:r>
      <w:r>
        <w:rPr>
          <w:rFonts w:eastAsia="Calibri" w:cs="A"/>
        </w:rPr>
        <w:t xml:space="preserve">postanowienia </w:t>
      </w:r>
      <w:r w:rsidRPr="00DC2654">
        <w:rPr>
          <w:rFonts w:eastAsia="Calibri" w:cs="A"/>
        </w:rPr>
        <w:t>Instrukcji</w:t>
      </w:r>
      <w:r w:rsidRPr="00DC2654">
        <w:rPr>
          <w:rFonts w:eastAsia="Calibri" w:cs="Times New Roman"/>
        </w:rPr>
        <w:t xml:space="preserve"> regulującej zasady inwentaryzacji do przepisów zawartych w art. 26 ust. 3 pkt 1 ustawy </w:t>
      </w:r>
      <w:r>
        <w:rPr>
          <w:rFonts w:eastAsia="Calibri" w:cs="Times New Roman"/>
        </w:rPr>
        <w:t xml:space="preserve">z dnia 29 września </w:t>
      </w:r>
      <w:r>
        <w:rPr>
          <w:rFonts w:eastAsia="Calibri" w:cs="Times New Roman"/>
        </w:rPr>
        <w:br/>
        <w:t xml:space="preserve">1994 roku </w:t>
      </w:r>
      <w:r w:rsidRPr="00DC2654">
        <w:rPr>
          <w:rFonts w:eastAsia="Calibri" w:cs="Times New Roman"/>
        </w:rPr>
        <w:t>o rachunkowości.</w:t>
      </w:r>
    </w:p>
    <w:p w:rsidR="00054222" w:rsidRPr="00DC2654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>
        <w:rPr>
          <w:rFonts w:eastAsia="Calibri" w:cs="Times New Roman"/>
        </w:rPr>
        <w:t>Dokonać analizy sposobu ujmowania w ewidencji składników majątkowych składających się z odrębnych elementów, powiązanych ze sobą funkcjonalnie (np. place zabaw), m.in. pod kątem zapewnienia ich identyfikacji w procesie inwentaryzacji,</w:t>
      </w:r>
      <w:r w:rsidRPr="004C130C">
        <w:rPr>
          <w:rFonts w:eastAsia="Calibri" w:cs="Cambria"/>
        </w:rPr>
        <w:t xml:space="preserve"> </w:t>
      </w:r>
      <w:r>
        <w:rPr>
          <w:rFonts w:eastAsia="Calibri" w:cs="Cambria"/>
        </w:rPr>
        <w:t>uwzględniając uwagi zawarte w pierwszej części wystąpienia pokontrolnego</w:t>
      </w:r>
      <w:r>
        <w:rPr>
          <w:rFonts w:eastAsia="Calibri" w:cs="Times New Roman"/>
        </w:rPr>
        <w:t>.</w:t>
      </w:r>
    </w:p>
    <w:p w:rsidR="00054222" w:rsidRPr="00DC2654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 w:rsidRPr="00DC2654">
        <w:rPr>
          <w:rFonts w:eastAsia="Calibri" w:cs="A"/>
        </w:rPr>
        <w:lastRenderedPageBreak/>
        <w:t xml:space="preserve">Inwentaryzację drogą porównania danych ksiąg rachunkowych </w:t>
      </w:r>
      <w:r>
        <w:rPr>
          <w:rFonts w:eastAsia="Calibri" w:cs="A"/>
        </w:rPr>
        <w:br/>
      </w:r>
      <w:r w:rsidRPr="00DC2654">
        <w:rPr>
          <w:rFonts w:eastAsia="Calibri" w:cs="A"/>
        </w:rPr>
        <w:t>z odpowiednimi dokumentami i weryfikacji wartości aktywów i pasywów przeprowadzać zgodnie z art. 26 ust.</w:t>
      </w:r>
      <w:r>
        <w:rPr>
          <w:rFonts w:eastAsia="Calibri" w:cs="A"/>
        </w:rPr>
        <w:t xml:space="preserve"> 1 </w:t>
      </w:r>
      <w:r w:rsidRPr="00DC2654">
        <w:rPr>
          <w:rFonts w:eastAsia="Calibri" w:cs="A"/>
        </w:rPr>
        <w:t xml:space="preserve">pkt </w:t>
      </w:r>
      <w:r>
        <w:rPr>
          <w:rFonts w:eastAsia="Calibri" w:cs="A"/>
        </w:rPr>
        <w:t>3</w:t>
      </w:r>
      <w:r w:rsidRPr="00DC2654">
        <w:rPr>
          <w:rFonts w:eastAsia="Calibri" w:cs="A"/>
        </w:rPr>
        <w:t xml:space="preserve"> ustawy o rachunkowości.</w:t>
      </w:r>
    </w:p>
    <w:p w:rsidR="00054222" w:rsidRPr="001F5176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 w:rsidRPr="00DC2654">
        <w:rPr>
          <w:rFonts w:eastAsia="Calibri" w:cs="A"/>
        </w:rPr>
        <w:t xml:space="preserve">Nie przeprowadzać inwentaryzacji </w:t>
      </w:r>
      <w:r>
        <w:rPr>
          <w:rFonts w:eastAsia="Calibri" w:cs="A"/>
        </w:rPr>
        <w:t xml:space="preserve">danych ujętych na </w:t>
      </w:r>
      <w:r w:rsidRPr="00DC2654">
        <w:rPr>
          <w:rFonts w:eastAsia="Calibri" w:cs="A"/>
        </w:rPr>
        <w:t>kont</w:t>
      </w:r>
      <w:r>
        <w:rPr>
          <w:rFonts w:eastAsia="Calibri" w:cs="A"/>
        </w:rPr>
        <w:t>ach</w:t>
      </w:r>
      <w:r w:rsidRPr="00DC2654">
        <w:rPr>
          <w:rFonts w:eastAsia="Calibri" w:cs="A"/>
        </w:rPr>
        <w:t xml:space="preserve"> wynikowych </w:t>
      </w:r>
      <w:r>
        <w:rPr>
          <w:rFonts w:eastAsia="Calibri" w:cs="A"/>
        </w:rPr>
        <w:br/>
      </w:r>
      <w:r w:rsidRPr="00DC2654">
        <w:rPr>
          <w:rFonts w:eastAsia="Calibri" w:cs="A"/>
        </w:rPr>
        <w:t>i korygujących</w:t>
      </w:r>
      <w:r>
        <w:rPr>
          <w:rFonts w:eastAsia="Calibri" w:cs="A"/>
        </w:rPr>
        <w:t>, wskazanych w pierwszej części wystąpienia pokontrolnego.</w:t>
      </w:r>
    </w:p>
    <w:p w:rsidR="00054222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 w:rsidRPr="001F5176">
        <w:rPr>
          <w:rFonts w:eastAsia="Times New Roman"/>
        </w:rPr>
        <w:t xml:space="preserve">Zapewnić </w:t>
      </w:r>
      <w:r>
        <w:rPr>
          <w:rFonts w:eastAsia="Times New Roman"/>
        </w:rPr>
        <w:t>uwzględnienie przepisów</w:t>
      </w:r>
      <w:r w:rsidRPr="001F5176">
        <w:rPr>
          <w:rFonts w:eastAsia="Times New Roman"/>
        </w:rPr>
        <w:t xml:space="preserve"> art. 116 ust. 2 i ust. 3 ustaw</w:t>
      </w:r>
      <w:r>
        <w:rPr>
          <w:rFonts w:eastAsia="Times New Roman"/>
        </w:rPr>
        <w:t xml:space="preserve">y z dnia </w:t>
      </w:r>
      <w:r>
        <w:rPr>
          <w:rFonts w:eastAsia="Times New Roman"/>
        </w:rPr>
        <w:br/>
      </w:r>
      <w:r w:rsidRPr="001F5176">
        <w:rPr>
          <w:rFonts w:eastAsia="Times New Roman"/>
        </w:rPr>
        <w:t>15 kwietnia 2011 r</w:t>
      </w:r>
      <w:r>
        <w:rPr>
          <w:rFonts w:eastAsia="Times New Roman"/>
        </w:rPr>
        <w:t>oku</w:t>
      </w:r>
      <w:r w:rsidRPr="001F5176">
        <w:rPr>
          <w:rFonts w:eastAsia="Times New Roman"/>
        </w:rPr>
        <w:t xml:space="preserve"> o działalności leczniczej </w:t>
      </w:r>
      <w:r>
        <w:rPr>
          <w:rFonts w:eastAsia="Times New Roman"/>
        </w:rPr>
        <w:t>w zw. z</w:t>
      </w:r>
      <w:r w:rsidRPr="001F5176">
        <w:rPr>
          <w:rFonts w:eastAsia="Times New Roman"/>
        </w:rPr>
        <w:t xml:space="preserve"> art. 250 pkt 3 ustawy </w:t>
      </w:r>
      <w:r>
        <w:rPr>
          <w:rFonts w:eastAsia="Times New Roman"/>
        </w:rPr>
        <w:br/>
      </w:r>
      <w:r w:rsidRPr="001F5176">
        <w:rPr>
          <w:rFonts w:eastAsia="Times New Roman"/>
        </w:rPr>
        <w:t xml:space="preserve">o finansach publicznych, przy </w:t>
      </w:r>
      <w:r>
        <w:rPr>
          <w:rFonts w:eastAsia="Times New Roman"/>
        </w:rPr>
        <w:t xml:space="preserve">zawieraniu umowy w sprawie </w:t>
      </w:r>
      <w:r w:rsidRPr="001F5176">
        <w:rPr>
          <w:rFonts w:eastAsia="Times New Roman"/>
        </w:rPr>
        <w:t>udziel</w:t>
      </w:r>
      <w:r>
        <w:rPr>
          <w:rFonts w:eastAsia="Times New Roman"/>
        </w:rPr>
        <w:t>e</w:t>
      </w:r>
      <w:r w:rsidRPr="001F5176">
        <w:rPr>
          <w:rFonts w:eastAsia="Times New Roman"/>
        </w:rPr>
        <w:t>ni</w:t>
      </w:r>
      <w:r>
        <w:rPr>
          <w:rFonts w:eastAsia="Times New Roman"/>
        </w:rPr>
        <w:t>a</w:t>
      </w:r>
      <w:r w:rsidRPr="001F5176">
        <w:rPr>
          <w:rFonts w:eastAsia="Times New Roman"/>
        </w:rPr>
        <w:t xml:space="preserve"> dotacji publicznym samodzielnym zakładom opieki zdrowotnej</w:t>
      </w:r>
      <w:r>
        <w:rPr>
          <w:rFonts w:eastAsia="Times New Roman"/>
        </w:rPr>
        <w:t xml:space="preserve"> i ustalaniu w niej sposobu rozliczenia dotacji.</w:t>
      </w:r>
    </w:p>
    <w:p w:rsidR="00054222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>
        <w:rPr>
          <w:rFonts w:eastAsia="Times New Roman"/>
        </w:rPr>
        <w:t xml:space="preserve">Dołożyć należytej staranności w zakresie udzielania dotacji celowych na rzecz ochotniczych straży pożarnych, w szczególności poprzez szczegółowe określanie przeznaczenia dotacji, co daje możliwość rzetelnej weryfikacji jej rozliczenia. </w:t>
      </w:r>
    </w:p>
    <w:p w:rsidR="00054222" w:rsidRPr="005B3E1E" w:rsidRDefault="00054222" w:rsidP="00054222">
      <w:pPr>
        <w:pStyle w:val="Akapitzlist"/>
        <w:numPr>
          <w:ilvl w:val="0"/>
          <w:numId w:val="3"/>
        </w:numPr>
        <w:spacing w:after="120" w:line="259" w:lineRule="auto"/>
        <w:ind w:left="567" w:hanging="567"/>
        <w:jc w:val="both"/>
        <w:rPr>
          <w:rFonts w:eastAsia="Times New Roman"/>
        </w:rPr>
      </w:pPr>
      <w:r>
        <w:rPr>
          <w:rFonts w:eastAsia="Times New Roman"/>
        </w:rPr>
        <w:t xml:space="preserve">Sporządzać plany finansowe rachunków, o których mowa w </w:t>
      </w:r>
      <w:r w:rsidRPr="005B3E1E">
        <w:rPr>
          <w:rFonts w:eastAsia="Times New Roman"/>
        </w:rPr>
        <w:t>art. 65 ust. 12 ustawy z dnia 31 marca 2020 r</w:t>
      </w:r>
      <w:r>
        <w:rPr>
          <w:rFonts w:eastAsia="Times New Roman"/>
        </w:rPr>
        <w:t>oku</w:t>
      </w:r>
      <w:r w:rsidRPr="005B3E1E">
        <w:rPr>
          <w:rFonts w:eastAsia="Times New Roman"/>
        </w:rPr>
        <w:t xml:space="preserve"> o zmianie ustawy o szczególnych rozwiązaniach związanych z zapobieganiem, przeciwdziałaniem i zwalczaniem COVID-19, innych chorób zakaźnych oraz wywołanych nimi sytuacji kryzysowych oraz niektórych innych ustaw</w:t>
      </w:r>
      <w:r>
        <w:rPr>
          <w:rFonts w:eastAsia="Times New Roman"/>
        </w:rPr>
        <w:t>.</w:t>
      </w:r>
    </w:p>
    <w:p w:rsidR="00054222" w:rsidRPr="00A45DD5" w:rsidRDefault="00054222" w:rsidP="00054222">
      <w:pPr>
        <w:spacing w:after="120" w:line="259" w:lineRule="auto"/>
        <w:jc w:val="both"/>
      </w:pPr>
      <w:r w:rsidRPr="00A45DD5">
        <w:t xml:space="preserve">Podając powyższe do wiadomości, zgodnie z art. 9 ust. 3 ustawy z dnia </w:t>
      </w:r>
      <w:r w:rsidRPr="00A45DD5">
        <w:br/>
        <w:t>7 października 1992 r</w:t>
      </w:r>
      <w:r>
        <w:t>oku</w:t>
      </w:r>
      <w:r w:rsidRPr="00A45DD5">
        <w:t xml:space="preserve"> o regionalnych izbach obrachunkowych, proszę Pana Burmistrza o przesłanie informacji o sposobie wykonania zaleceń pokontrolnych lub przyczynach ich niewykonania w terminie 30 dni od daty otrzymania niniejszego wystąpienia pokontrolnego.</w:t>
      </w:r>
    </w:p>
    <w:p w:rsidR="00054222" w:rsidRDefault="00054222" w:rsidP="00054222">
      <w:pPr>
        <w:spacing w:after="120" w:line="259" w:lineRule="auto"/>
        <w:jc w:val="both"/>
      </w:pPr>
      <w:r w:rsidRPr="00A45DD5">
        <w:t xml:space="preserve">Jednocześnie informuję, że zgodnie z art. 9 ust. 4 ustawy o regionalnych izbach obrachunkowych, do wniosków zawartych w II części wystąpienia pokontrolnego przysługuje prawo zgłoszenia zastrzeżeń do Kolegium Izby. </w:t>
      </w:r>
    </w:p>
    <w:p w:rsidR="00054222" w:rsidRDefault="00054222" w:rsidP="00054222">
      <w:pPr>
        <w:spacing w:after="120" w:line="259" w:lineRule="auto"/>
        <w:jc w:val="both"/>
      </w:pPr>
      <w:r w:rsidRPr="00A45DD5">
        <w:t xml:space="preserve">Zastrzeżenie składa właściwy organ jednostki kontrolowanej w terminie 14 dni od daty otrzymania wystąpienia pokontrolnego, za pośrednictwem Prezesa Izby. </w:t>
      </w:r>
    </w:p>
    <w:p w:rsidR="00054222" w:rsidRDefault="00054222" w:rsidP="00054222">
      <w:pPr>
        <w:spacing w:after="120" w:line="259" w:lineRule="auto"/>
        <w:jc w:val="both"/>
      </w:pPr>
      <w:r w:rsidRPr="00A45DD5">
        <w:t xml:space="preserve">Podstawą zgłoszenia zastrzeżeń może być tylko zarzut naruszenia prawa poprzez błędną jego wykładnię lub niewłaściwe zastosowanie. </w:t>
      </w:r>
    </w:p>
    <w:p w:rsidR="00054222" w:rsidRPr="00A45DD5" w:rsidRDefault="00054222" w:rsidP="00054222">
      <w:pPr>
        <w:spacing w:after="120" w:line="259" w:lineRule="auto"/>
        <w:jc w:val="both"/>
      </w:pPr>
      <w:r w:rsidRPr="00A45DD5">
        <w:t>Bieg terminu, o którym mowa wyżej, ulega zawieszeniu na czas rozpatrzenia zastrzeżenia w odniesieniu do wniosków pokontrolnych objętych zastrzeżeniem.</w:t>
      </w:r>
    </w:p>
    <w:p w:rsidR="00054222" w:rsidRPr="00A45DD5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ind w:left="1419" w:firstLine="708"/>
        <w:jc w:val="center"/>
        <w:rPr>
          <w:rFonts w:cstheme="minorBidi"/>
        </w:rPr>
      </w:pPr>
      <w:r>
        <w:t>Ryszard Paweł Krawczyk</w:t>
      </w:r>
    </w:p>
    <w:p w:rsidR="00054222" w:rsidRDefault="00054222" w:rsidP="00054222">
      <w:pPr>
        <w:ind w:left="1419" w:firstLine="708"/>
        <w:jc w:val="center"/>
        <w:rPr>
          <w:rFonts w:cs="Arial Unicode MS"/>
          <w:color w:val="000000"/>
          <w:lang w:eastAsia="ar-SA"/>
        </w:rPr>
      </w:pPr>
      <w:r>
        <w:t>Prezes RIO w Łodzi</w:t>
      </w:r>
    </w:p>
    <w:p w:rsidR="00054222" w:rsidRDefault="00054222" w:rsidP="00054222">
      <w:pPr>
        <w:ind w:left="1419" w:firstLine="708"/>
        <w:jc w:val="center"/>
      </w:pPr>
      <w:r>
        <w:t>(podpisane cyfrowo)</w:t>
      </w:r>
    </w:p>
    <w:p w:rsidR="00054222" w:rsidRDefault="00054222" w:rsidP="00054222">
      <w:pPr>
        <w:spacing w:line="254" w:lineRule="auto"/>
        <w:rPr>
          <w:rFonts w:cs="Times New Roman"/>
          <w:u w:val="single"/>
          <w:lang w:eastAsia="pl-PL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Pr="00A45DD5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Pr="00A45DD5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</w:p>
    <w:p w:rsidR="00054222" w:rsidRPr="00A45DD5" w:rsidRDefault="00054222" w:rsidP="00054222">
      <w:pPr>
        <w:spacing w:after="120" w:line="259" w:lineRule="auto"/>
        <w:jc w:val="both"/>
        <w:rPr>
          <w:rFonts w:cs="Times New Roman"/>
          <w:u w:val="single"/>
        </w:rPr>
      </w:pPr>
      <w:r w:rsidRPr="00A45DD5">
        <w:rPr>
          <w:rFonts w:cs="Times New Roman"/>
          <w:u w:val="single"/>
        </w:rPr>
        <w:t xml:space="preserve">Do wiadomości: </w:t>
      </w:r>
    </w:p>
    <w:p w:rsidR="00054222" w:rsidRPr="00A45DD5" w:rsidRDefault="00054222" w:rsidP="00054222">
      <w:pPr>
        <w:pStyle w:val="Akapitzlist"/>
        <w:numPr>
          <w:ilvl w:val="0"/>
          <w:numId w:val="1"/>
        </w:numPr>
        <w:spacing w:after="120" w:line="259" w:lineRule="auto"/>
        <w:ind w:left="426" w:hanging="426"/>
        <w:jc w:val="both"/>
        <w:rPr>
          <w:rFonts w:cs="Times New Roman"/>
        </w:rPr>
      </w:pPr>
      <w:r w:rsidRPr="00A45DD5">
        <w:rPr>
          <w:rFonts w:cs="Times New Roman"/>
        </w:rPr>
        <w:t>Przewodniczący Rady Miejskiej w Zelowie,</w:t>
      </w:r>
    </w:p>
    <w:p w:rsidR="00054222" w:rsidRPr="00A45DD5" w:rsidRDefault="00054222" w:rsidP="00054222">
      <w:pPr>
        <w:pStyle w:val="Akapitzlist"/>
        <w:numPr>
          <w:ilvl w:val="0"/>
          <w:numId w:val="1"/>
        </w:numPr>
        <w:spacing w:after="120" w:line="259" w:lineRule="auto"/>
        <w:ind w:left="426" w:hanging="426"/>
        <w:jc w:val="both"/>
        <w:rPr>
          <w:rFonts w:cs="Times New Roman"/>
        </w:rPr>
      </w:pPr>
      <w:r w:rsidRPr="00A45DD5">
        <w:rPr>
          <w:rFonts w:cs="Times New Roman"/>
        </w:rPr>
        <w:t>Przewodniczący Komisji Rewizyjnej Rady Miejskiej w Zelowie,</w:t>
      </w:r>
    </w:p>
    <w:p w:rsidR="00054222" w:rsidRPr="00A45DD5" w:rsidRDefault="00054222" w:rsidP="00054222">
      <w:pPr>
        <w:pStyle w:val="Akapitzlist"/>
        <w:numPr>
          <w:ilvl w:val="0"/>
          <w:numId w:val="1"/>
        </w:numPr>
        <w:spacing w:after="120" w:line="259" w:lineRule="auto"/>
        <w:ind w:left="426" w:hanging="426"/>
        <w:jc w:val="both"/>
      </w:pPr>
      <w:r w:rsidRPr="00A45DD5">
        <w:rPr>
          <w:rFonts w:cs="Times New Roman"/>
        </w:rPr>
        <w:t>aa.</w:t>
      </w:r>
    </w:p>
    <w:p w:rsidR="00054222" w:rsidRPr="00A45DD5" w:rsidRDefault="00054222" w:rsidP="00054222">
      <w:pPr>
        <w:spacing w:after="60" w:line="259" w:lineRule="auto"/>
        <w:jc w:val="both"/>
      </w:pPr>
    </w:p>
    <w:p w:rsidR="00054222" w:rsidRPr="00A45DD5" w:rsidRDefault="00054222" w:rsidP="00054222">
      <w:pPr>
        <w:spacing w:after="60" w:line="259" w:lineRule="auto"/>
        <w:jc w:val="both"/>
      </w:pPr>
    </w:p>
    <w:p w:rsidR="00F612EE" w:rsidRDefault="00F612EE"/>
    <w:sectPr w:rsidR="00F612EE" w:rsidSect="00B27AEE">
      <w:footerReference w:type="default" r:id="rId7"/>
      <w:footerReference w:type="first" r:id="rId8"/>
      <w:pgSz w:w="11906" w:h="16838"/>
      <w:pgMar w:top="1701" w:right="1701" w:bottom="1701" w:left="1701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22" w:rsidRDefault="00054222" w:rsidP="00054222">
      <w:pPr>
        <w:spacing w:after="0" w:line="240" w:lineRule="auto"/>
      </w:pPr>
      <w:r>
        <w:separator/>
      </w:r>
    </w:p>
  </w:endnote>
  <w:endnote w:type="continuationSeparator" w:id="0">
    <w:p w:rsidR="00054222" w:rsidRDefault="00054222" w:rsidP="0005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12990564"/>
      <w:docPartObj>
        <w:docPartGallery w:val="Page Numbers (Bottom of Page)"/>
        <w:docPartUnique/>
      </w:docPartObj>
    </w:sdtPr>
    <w:sdtEndPr/>
    <w:sdtContent>
      <w:p w:rsidR="005707C3" w:rsidRPr="00F76198" w:rsidRDefault="00054222" w:rsidP="00F76198">
        <w:pPr>
          <w:pStyle w:val="Stopka"/>
          <w:spacing w:before="120" w:after="120"/>
          <w:jc w:val="center"/>
          <w:rPr>
            <w:sz w:val="18"/>
            <w:szCs w:val="18"/>
          </w:rPr>
        </w:pPr>
        <w:r w:rsidRPr="00053ECF">
          <w:rPr>
            <w:sz w:val="18"/>
            <w:szCs w:val="18"/>
          </w:rPr>
          <w:fldChar w:fldCharType="begin"/>
        </w:r>
        <w:r w:rsidRPr="00053ECF">
          <w:rPr>
            <w:sz w:val="18"/>
            <w:szCs w:val="18"/>
          </w:rPr>
          <w:instrText>PAGE   \* MERGEFORMAT</w:instrText>
        </w:r>
        <w:r w:rsidRPr="00053EC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7</w:t>
        </w:r>
        <w:r w:rsidRPr="00053ECF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86252627"/>
      <w:docPartObj>
        <w:docPartGallery w:val="Page Numbers (Bottom of Page)"/>
        <w:docPartUnique/>
      </w:docPartObj>
    </w:sdtPr>
    <w:sdtEndPr/>
    <w:sdtContent>
      <w:p w:rsidR="005707C3" w:rsidRPr="00375B72" w:rsidRDefault="00054222">
        <w:pPr>
          <w:pStyle w:val="Stopka"/>
          <w:jc w:val="right"/>
          <w:rPr>
            <w:sz w:val="18"/>
            <w:szCs w:val="18"/>
          </w:rPr>
        </w:pPr>
        <w:r w:rsidRPr="00375B72">
          <w:rPr>
            <w:sz w:val="18"/>
            <w:szCs w:val="18"/>
          </w:rPr>
          <w:fldChar w:fldCharType="begin"/>
        </w:r>
        <w:r w:rsidRPr="00375B72">
          <w:rPr>
            <w:sz w:val="18"/>
            <w:szCs w:val="18"/>
          </w:rPr>
          <w:instrText>PAGE   \* MERGEFORMAT</w:instrText>
        </w:r>
        <w:r w:rsidRPr="00375B7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375B72">
          <w:rPr>
            <w:sz w:val="18"/>
            <w:szCs w:val="18"/>
          </w:rPr>
          <w:fldChar w:fldCharType="end"/>
        </w:r>
      </w:p>
    </w:sdtContent>
  </w:sdt>
  <w:p w:rsidR="005707C3" w:rsidRDefault="000542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22" w:rsidRDefault="00054222" w:rsidP="00054222">
      <w:pPr>
        <w:spacing w:after="0" w:line="240" w:lineRule="auto"/>
      </w:pPr>
      <w:r>
        <w:separator/>
      </w:r>
    </w:p>
  </w:footnote>
  <w:footnote w:type="continuationSeparator" w:id="0">
    <w:p w:rsidR="00054222" w:rsidRDefault="00054222" w:rsidP="00054222">
      <w:pPr>
        <w:spacing w:after="0" w:line="240" w:lineRule="auto"/>
      </w:pPr>
      <w:r>
        <w:continuationSeparator/>
      </w:r>
    </w:p>
  </w:footnote>
  <w:footnote w:id="1">
    <w:p w:rsidR="00054222" w:rsidRPr="00654DA3" w:rsidRDefault="00054222" w:rsidP="00054222">
      <w:pPr>
        <w:pStyle w:val="Tekstprzypisudolnego"/>
        <w:spacing w:line="259" w:lineRule="auto"/>
        <w:jc w:val="both"/>
        <w:rPr>
          <w:sz w:val="16"/>
          <w:szCs w:val="16"/>
        </w:rPr>
      </w:pPr>
      <w:r w:rsidRPr="00654DA3">
        <w:rPr>
          <w:rStyle w:val="Odwoanieprzypisudolnego"/>
          <w:sz w:val="16"/>
          <w:szCs w:val="16"/>
        </w:rPr>
        <w:footnoteRef/>
      </w:r>
      <w:r w:rsidRPr="00654DA3">
        <w:rPr>
          <w:sz w:val="16"/>
          <w:szCs w:val="16"/>
        </w:rPr>
        <w:t xml:space="preserve"> </w:t>
      </w:r>
      <w:r w:rsidRPr="00431440">
        <w:rPr>
          <w:sz w:val="16"/>
          <w:szCs w:val="16"/>
        </w:rPr>
        <w:t>Czynności kontrolne zostały przeprowadzone w okresie 1</w:t>
      </w:r>
      <w:r>
        <w:rPr>
          <w:sz w:val="16"/>
          <w:szCs w:val="16"/>
        </w:rPr>
        <w:t>0</w:t>
      </w:r>
      <w:r w:rsidRPr="00431440">
        <w:rPr>
          <w:sz w:val="16"/>
          <w:szCs w:val="16"/>
        </w:rPr>
        <w:t xml:space="preserve"> </w:t>
      </w:r>
      <w:r>
        <w:rPr>
          <w:sz w:val="16"/>
          <w:szCs w:val="16"/>
        </w:rPr>
        <w:t>października</w:t>
      </w:r>
      <w:r w:rsidRPr="00431440">
        <w:rPr>
          <w:sz w:val="16"/>
          <w:szCs w:val="16"/>
        </w:rPr>
        <w:t xml:space="preserve"> – </w:t>
      </w:r>
      <w:r>
        <w:rPr>
          <w:sz w:val="16"/>
          <w:szCs w:val="16"/>
        </w:rPr>
        <w:t>2</w:t>
      </w:r>
      <w:r w:rsidRPr="00431440">
        <w:rPr>
          <w:sz w:val="16"/>
          <w:szCs w:val="16"/>
        </w:rPr>
        <w:t xml:space="preserve"> </w:t>
      </w:r>
      <w:r>
        <w:rPr>
          <w:sz w:val="16"/>
          <w:szCs w:val="16"/>
        </w:rPr>
        <w:t>grudnia</w:t>
      </w:r>
      <w:r w:rsidRPr="00431440">
        <w:rPr>
          <w:sz w:val="16"/>
          <w:szCs w:val="16"/>
        </w:rPr>
        <w:t xml:space="preserve"> 2022 roku. Protokół został podpisany w dniu </w:t>
      </w:r>
      <w:r>
        <w:rPr>
          <w:sz w:val="16"/>
          <w:szCs w:val="16"/>
        </w:rPr>
        <w:t xml:space="preserve">9 lutego </w:t>
      </w:r>
      <w:r w:rsidRPr="00431440">
        <w:rPr>
          <w:sz w:val="16"/>
          <w:szCs w:val="16"/>
        </w:rPr>
        <w:t>202</w:t>
      </w:r>
      <w:r>
        <w:rPr>
          <w:sz w:val="16"/>
          <w:szCs w:val="16"/>
        </w:rPr>
        <w:t>3</w:t>
      </w:r>
      <w:r w:rsidRPr="00431440">
        <w:rPr>
          <w:sz w:val="16"/>
          <w:szCs w:val="16"/>
        </w:rPr>
        <w:t xml:space="preserve"> roku.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42BB"/>
    <w:multiLevelType w:val="hybridMultilevel"/>
    <w:tmpl w:val="DD5CB52E"/>
    <w:lvl w:ilvl="0" w:tplc="B4B28DD4">
      <w:start w:val="1"/>
      <w:numFmt w:val="bullet"/>
      <w:lvlText w:val="-"/>
      <w:lvlJc w:val="left"/>
      <w:pPr>
        <w:ind w:left="164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85130EC"/>
    <w:multiLevelType w:val="hybridMultilevel"/>
    <w:tmpl w:val="71A2B46A"/>
    <w:styleLink w:val="WWNum113111"/>
    <w:lvl w:ilvl="0" w:tplc="DE54C94E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D709C"/>
    <w:multiLevelType w:val="hybridMultilevel"/>
    <w:tmpl w:val="53344C08"/>
    <w:lvl w:ilvl="0" w:tplc="B4B28DD4">
      <w:start w:val="1"/>
      <w:numFmt w:val="bullet"/>
      <w:lvlText w:val="-"/>
      <w:lvlJc w:val="left"/>
      <w:pPr>
        <w:ind w:left="79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1E45F69"/>
    <w:multiLevelType w:val="hybridMultilevel"/>
    <w:tmpl w:val="C5FABD1A"/>
    <w:lvl w:ilvl="0" w:tplc="97B0B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7F74EE"/>
    <w:multiLevelType w:val="hybridMultilevel"/>
    <w:tmpl w:val="21562BB8"/>
    <w:lvl w:ilvl="0" w:tplc="B4B28DD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22"/>
    <w:rsid w:val="00054222"/>
    <w:rsid w:val="00F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30B79-9B52-4C0F-A6FA-C7C5B7C4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222"/>
    <w:pPr>
      <w:spacing w:after="200" w:line="276" w:lineRule="auto"/>
    </w:pPr>
    <w:rPr>
      <w:rFonts w:ascii="Verdana" w:hAnsi="Verdana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054222"/>
    <w:pPr>
      <w:suppressAutoHyphens/>
      <w:ind w:left="720"/>
    </w:pPr>
    <w:rPr>
      <w:rFonts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4222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54222"/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54222"/>
    <w:rPr>
      <w:rFonts w:ascii="Verdana" w:hAnsi="Verdana" w:cs="Calibri"/>
      <w:sz w:val="20"/>
      <w:szCs w:val="20"/>
      <w:lang w:eastAsia="ar-SA"/>
    </w:rPr>
  </w:style>
  <w:style w:type="numbering" w:customStyle="1" w:styleId="WWNum113111">
    <w:name w:val="WWNum113111"/>
    <w:rsid w:val="00054222"/>
    <w:pPr>
      <w:numPr>
        <w:numId w:val="1"/>
      </w:numPr>
    </w:pPr>
  </w:style>
  <w:style w:type="paragraph" w:styleId="Tekstprzypisudolnego">
    <w:name w:val="footnote text"/>
    <w:aliases w:val=" Znak4 Znak Znak, Znak4 Znak, Znak4, Znak2 Znak,Znak4 Znak Znak,Znak4 Znak,Znak4,Znak2 Znak,Podrozdział,Footnote,Podrozdzia3,Tekst przypisu,Podrozdzia³,Tekst przypisu Znak Znak Znak Znak,Tekst przypisu Znak Znak Znak Znak Znak,f"/>
    <w:basedOn w:val="Normalny"/>
    <w:link w:val="TekstprzypisudolnegoZnak"/>
    <w:uiPriority w:val="99"/>
    <w:unhideWhenUsed/>
    <w:qFormat/>
    <w:rsid w:val="00054222"/>
    <w:pPr>
      <w:spacing w:after="0" w:line="240" w:lineRule="auto"/>
    </w:pPr>
  </w:style>
  <w:style w:type="character" w:customStyle="1" w:styleId="TekstprzypisudolnegoZnak">
    <w:name w:val="Tekst przypisu dolnego Znak"/>
    <w:aliases w:val=" Znak4 Znak Znak Znak, Znak4 Znak Znak1, Znak4 Znak1, Znak2 Znak Znak,Znak4 Znak Znak Znak,Znak4 Znak Znak1,Znak4 Znak1,Znak2 Znak Znak,Podrozdział Znak,Footnote Znak,Podrozdzia3 Znak,Tekst przypisu Znak,Podrozdzia³ Znak"/>
    <w:basedOn w:val="Domylnaczcionkaakapitu"/>
    <w:link w:val="Tekstprzypisudolnego"/>
    <w:uiPriority w:val="99"/>
    <w:qFormat/>
    <w:rsid w:val="00054222"/>
    <w:rPr>
      <w:rFonts w:ascii="Verdana" w:hAnsi="Verdana" w:cs="Arial"/>
      <w:sz w:val="20"/>
      <w:szCs w:val="20"/>
    </w:r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SUPERS,EN Footnote Reference,Footnote number,Times 10 Point,Exposant 3 Point,fr,ftref"/>
    <w:uiPriority w:val="99"/>
    <w:unhideWhenUsed/>
    <w:qFormat/>
    <w:rsid w:val="00054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2240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Borowski</dc:creator>
  <cp:keywords/>
  <dc:description/>
  <cp:lastModifiedBy>Krzysztof Borowski</cp:lastModifiedBy>
  <cp:revision>1</cp:revision>
  <dcterms:created xsi:type="dcterms:W3CDTF">2023-04-27T09:19:00Z</dcterms:created>
  <dcterms:modified xsi:type="dcterms:W3CDTF">2023-04-27T09:20:00Z</dcterms:modified>
</cp:coreProperties>
</file>