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E320" w14:textId="77777777" w:rsidR="007F434B" w:rsidRPr="007F434B" w:rsidRDefault="007F434B" w:rsidP="007F434B">
      <w:pPr>
        <w:keepNext/>
        <w:autoSpaceDE w:val="0"/>
        <w:autoSpaceDN w:val="0"/>
        <w:adjustRightInd w:val="0"/>
        <w:spacing w:after="480" w:line="240" w:lineRule="auto"/>
        <w:jc w:val="center"/>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b/>
          <w:bCs/>
          <w:color w:val="000000"/>
          <w:shd w:val="clear" w:color="auto" w:fill="FFFFFF"/>
          <w:lang w:eastAsia="pl-PL"/>
        </w:rPr>
        <w:t>Wykaz nieruchomości przeznaczonych do sprzedaży</w:t>
      </w:r>
    </w:p>
    <w:p w14:paraId="143A2C6D" w14:textId="77777777" w:rsidR="007F434B" w:rsidRPr="007F434B" w:rsidRDefault="007F434B" w:rsidP="007F434B">
      <w:pPr>
        <w:keepNext/>
        <w:autoSpaceDE w:val="0"/>
        <w:autoSpaceDN w:val="0"/>
        <w:adjustRightInd w:val="0"/>
        <w:spacing w:after="480" w:line="240" w:lineRule="auto"/>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Wójt Gminy Pozezdrze działając na podstawie art. 35 ust. 1 i 2 ustawy z dnia 21 sierpnia 1997 r. o gospodarce nieruchomościami (tj. Dz. U z 2020 r.  poz. 65 ze zm.) ogłasza co następuje: z zasobu nieruchomości Gminy Pozezdrze przeznaczone zostały do sprzedaży niżej wymienione niezabudowane nieruchomości gruntowe stanowiące własność Gminy Pozezdrze, położone w obrębie geodezyjnym Stręgielek, gmina Pozezdrze, powiat  węgorzewski, woj. warmińsko - mazurskie.</w:t>
      </w:r>
    </w:p>
    <w:tbl>
      <w:tblPr>
        <w:tblStyle w:val="Tabela-Prosty1"/>
        <w:tblW w:w="0" w:type="auto"/>
        <w:tblInd w:w="0" w:type="dxa"/>
        <w:tblLayout w:type="fixed"/>
        <w:tblCellMar>
          <w:left w:w="108" w:type="dxa"/>
          <w:right w:w="108" w:type="dxa"/>
        </w:tblCellMar>
        <w:tblLook w:val="0000" w:firstRow="0" w:lastRow="0" w:firstColumn="0" w:lastColumn="0" w:noHBand="0" w:noVBand="0"/>
      </w:tblPr>
      <w:tblGrid>
        <w:gridCol w:w="510"/>
        <w:gridCol w:w="1260"/>
        <w:gridCol w:w="870"/>
        <w:gridCol w:w="1350"/>
        <w:gridCol w:w="1230"/>
        <w:gridCol w:w="2700"/>
        <w:gridCol w:w="2490"/>
      </w:tblGrid>
      <w:tr w:rsidR="007F434B" w:rsidRPr="007F434B" w14:paraId="48E61D92" w14:textId="77777777">
        <w:trPr>
          <w:trHeight w:val="885"/>
        </w:trPr>
        <w:tc>
          <w:tcPr>
            <w:tcW w:w="510" w:type="dxa"/>
            <w:tcMar>
              <w:top w:w="0" w:type="dxa"/>
              <w:left w:w="108" w:type="dxa"/>
              <w:bottom w:w="0" w:type="dxa"/>
              <w:right w:w="108" w:type="dxa"/>
            </w:tcMar>
          </w:tcPr>
          <w:p w14:paraId="16C7175C" w14:textId="77777777" w:rsidR="007F434B" w:rsidRPr="007F434B" w:rsidRDefault="007F434B" w:rsidP="007F434B">
            <w:pPr>
              <w:keepNext/>
              <w:spacing w:after="480"/>
              <w:jc w:val="center"/>
              <w:rPr>
                <w:b/>
                <w:bCs/>
                <w:sz w:val="16"/>
                <w:szCs w:val="16"/>
              </w:rPr>
            </w:pPr>
            <w:r w:rsidRPr="007F434B">
              <w:rPr>
                <w:b/>
                <w:bCs/>
                <w:sz w:val="16"/>
                <w:szCs w:val="16"/>
              </w:rPr>
              <w:t>Lp.</w:t>
            </w:r>
          </w:p>
        </w:tc>
        <w:tc>
          <w:tcPr>
            <w:tcW w:w="1260" w:type="dxa"/>
            <w:tcMar>
              <w:top w:w="0" w:type="dxa"/>
              <w:left w:w="108" w:type="dxa"/>
              <w:bottom w:w="0" w:type="dxa"/>
              <w:right w:w="108" w:type="dxa"/>
            </w:tcMar>
          </w:tcPr>
          <w:p w14:paraId="6ED7DC04" w14:textId="77777777" w:rsidR="007F434B" w:rsidRPr="007F434B" w:rsidRDefault="007F434B" w:rsidP="007F434B">
            <w:pPr>
              <w:keepNext/>
              <w:spacing w:after="480"/>
              <w:jc w:val="center"/>
              <w:rPr>
                <w:b/>
                <w:bCs/>
                <w:sz w:val="16"/>
                <w:szCs w:val="16"/>
              </w:rPr>
            </w:pPr>
            <w:r w:rsidRPr="007F434B">
              <w:rPr>
                <w:b/>
                <w:bCs/>
                <w:sz w:val="16"/>
                <w:szCs w:val="16"/>
              </w:rPr>
              <w:t>Oznaczenie nieruchomości wg katastru nieruchomości</w:t>
            </w:r>
          </w:p>
        </w:tc>
        <w:tc>
          <w:tcPr>
            <w:tcW w:w="870" w:type="dxa"/>
            <w:tcMar>
              <w:top w:w="0" w:type="dxa"/>
              <w:left w:w="108" w:type="dxa"/>
              <w:bottom w:w="0" w:type="dxa"/>
              <w:right w:w="108" w:type="dxa"/>
            </w:tcMar>
          </w:tcPr>
          <w:p w14:paraId="6A207D1D" w14:textId="77777777" w:rsidR="007F434B" w:rsidRPr="007F434B" w:rsidRDefault="007F434B" w:rsidP="007F434B">
            <w:pPr>
              <w:keepNext/>
              <w:spacing w:after="480"/>
              <w:jc w:val="center"/>
              <w:rPr>
                <w:b/>
                <w:bCs/>
                <w:sz w:val="16"/>
                <w:szCs w:val="16"/>
              </w:rPr>
            </w:pPr>
            <w:r w:rsidRPr="007F434B">
              <w:rPr>
                <w:b/>
                <w:bCs/>
                <w:sz w:val="16"/>
                <w:szCs w:val="16"/>
              </w:rPr>
              <w:t>Pow. nieruchomości  ha</w:t>
            </w:r>
          </w:p>
        </w:tc>
        <w:tc>
          <w:tcPr>
            <w:tcW w:w="1350" w:type="dxa"/>
            <w:tcMar>
              <w:top w:w="0" w:type="dxa"/>
              <w:left w:w="108" w:type="dxa"/>
              <w:bottom w:w="0" w:type="dxa"/>
              <w:right w:w="108" w:type="dxa"/>
            </w:tcMar>
          </w:tcPr>
          <w:p w14:paraId="7B6C9E85" w14:textId="77777777" w:rsidR="007F434B" w:rsidRPr="007F434B" w:rsidRDefault="007F434B" w:rsidP="007F434B">
            <w:pPr>
              <w:keepNext/>
              <w:spacing w:after="480"/>
              <w:jc w:val="center"/>
              <w:rPr>
                <w:b/>
                <w:bCs/>
                <w:sz w:val="16"/>
                <w:szCs w:val="16"/>
              </w:rPr>
            </w:pPr>
            <w:r w:rsidRPr="007F434B">
              <w:rPr>
                <w:b/>
                <w:bCs/>
                <w:sz w:val="16"/>
                <w:szCs w:val="16"/>
              </w:rPr>
              <w:t>Cena nieruchomości netto (zł.)</w:t>
            </w:r>
          </w:p>
        </w:tc>
        <w:tc>
          <w:tcPr>
            <w:tcW w:w="1230" w:type="dxa"/>
            <w:tcMar>
              <w:top w:w="0" w:type="dxa"/>
              <w:left w:w="108" w:type="dxa"/>
              <w:bottom w:w="0" w:type="dxa"/>
              <w:right w:w="108" w:type="dxa"/>
            </w:tcMar>
          </w:tcPr>
          <w:p w14:paraId="110A3E1E" w14:textId="77777777" w:rsidR="007F434B" w:rsidRPr="007F434B" w:rsidRDefault="007F434B" w:rsidP="007F434B">
            <w:pPr>
              <w:keepNext/>
              <w:spacing w:after="480"/>
              <w:jc w:val="center"/>
              <w:rPr>
                <w:b/>
                <w:bCs/>
                <w:sz w:val="16"/>
                <w:szCs w:val="16"/>
              </w:rPr>
            </w:pPr>
            <w:r w:rsidRPr="007F434B">
              <w:rPr>
                <w:b/>
                <w:bCs/>
                <w:sz w:val="16"/>
                <w:szCs w:val="16"/>
              </w:rPr>
              <w:t>Oznaczenie w KW</w:t>
            </w:r>
          </w:p>
        </w:tc>
        <w:tc>
          <w:tcPr>
            <w:tcW w:w="2700" w:type="dxa"/>
            <w:tcMar>
              <w:top w:w="0" w:type="dxa"/>
              <w:left w:w="108" w:type="dxa"/>
              <w:bottom w:w="0" w:type="dxa"/>
              <w:right w:w="108" w:type="dxa"/>
            </w:tcMar>
          </w:tcPr>
          <w:p w14:paraId="50FDCAA8" w14:textId="77777777" w:rsidR="007F434B" w:rsidRPr="007F434B" w:rsidRDefault="007F434B" w:rsidP="007F434B">
            <w:pPr>
              <w:keepNext/>
              <w:spacing w:after="480"/>
              <w:jc w:val="center"/>
              <w:rPr>
                <w:b/>
                <w:bCs/>
                <w:sz w:val="16"/>
                <w:szCs w:val="16"/>
              </w:rPr>
            </w:pPr>
            <w:r w:rsidRPr="007F434B">
              <w:rPr>
                <w:b/>
                <w:bCs/>
                <w:sz w:val="16"/>
                <w:szCs w:val="16"/>
              </w:rPr>
              <w:t xml:space="preserve">Przeznaczenie nieruchomości i sposób jej zagospodarowania </w:t>
            </w:r>
          </w:p>
        </w:tc>
        <w:tc>
          <w:tcPr>
            <w:tcW w:w="2490" w:type="dxa"/>
            <w:tcMar>
              <w:top w:w="0" w:type="dxa"/>
              <w:left w:w="108" w:type="dxa"/>
              <w:bottom w:w="0" w:type="dxa"/>
              <w:right w:w="108" w:type="dxa"/>
            </w:tcMar>
          </w:tcPr>
          <w:p w14:paraId="33546CFE" w14:textId="77777777" w:rsidR="007F434B" w:rsidRPr="007F434B" w:rsidRDefault="007F434B" w:rsidP="007F434B">
            <w:pPr>
              <w:keepNext/>
              <w:spacing w:after="480"/>
              <w:jc w:val="center"/>
              <w:rPr>
                <w:b/>
                <w:bCs/>
                <w:sz w:val="16"/>
                <w:szCs w:val="16"/>
              </w:rPr>
            </w:pPr>
            <w:r w:rsidRPr="007F434B">
              <w:rPr>
                <w:b/>
                <w:bCs/>
                <w:sz w:val="16"/>
                <w:szCs w:val="16"/>
              </w:rPr>
              <w:t>Opis nieruchomości</w:t>
            </w:r>
          </w:p>
        </w:tc>
      </w:tr>
      <w:tr w:rsidR="007F434B" w:rsidRPr="007F434B" w14:paraId="38EE2FD3" w14:textId="77777777">
        <w:tc>
          <w:tcPr>
            <w:tcW w:w="510" w:type="dxa"/>
            <w:tcMar>
              <w:top w:w="0" w:type="dxa"/>
              <w:left w:w="108" w:type="dxa"/>
              <w:bottom w:w="0" w:type="dxa"/>
              <w:right w:w="108" w:type="dxa"/>
            </w:tcMar>
          </w:tcPr>
          <w:p w14:paraId="3F0946F3" w14:textId="77777777" w:rsidR="007F434B" w:rsidRPr="007F434B" w:rsidRDefault="007F434B" w:rsidP="007F434B">
            <w:pPr>
              <w:keepNext/>
              <w:spacing w:after="480"/>
              <w:jc w:val="center"/>
              <w:rPr>
                <w:sz w:val="16"/>
                <w:szCs w:val="16"/>
              </w:rPr>
            </w:pPr>
            <w:r w:rsidRPr="007F434B">
              <w:rPr>
                <w:sz w:val="16"/>
                <w:szCs w:val="16"/>
              </w:rPr>
              <w:t xml:space="preserve">1. </w:t>
            </w:r>
          </w:p>
        </w:tc>
        <w:tc>
          <w:tcPr>
            <w:tcW w:w="1260" w:type="dxa"/>
            <w:tcMar>
              <w:top w:w="0" w:type="dxa"/>
              <w:left w:w="108" w:type="dxa"/>
              <w:bottom w:w="0" w:type="dxa"/>
              <w:right w:w="108" w:type="dxa"/>
            </w:tcMar>
          </w:tcPr>
          <w:p w14:paraId="61F3BB1B" w14:textId="77777777" w:rsidR="007F434B" w:rsidRPr="007F434B" w:rsidRDefault="007F434B" w:rsidP="007F434B">
            <w:pPr>
              <w:keepNext/>
              <w:spacing w:after="480"/>
              <w:jc w:val="center"/>
              <w:rPr>
                <w:b/>
                <w:bCs/>
                <w:sz w:val="16"/>
                <w:szCs w:val="16"/>
              </w:rPr>
            </w:pPr>
            <w:r w:rsidRPr="007F434B">
              <w:rPr>
                <w:b/>
                <w:bCs/>
                <w:sz w:val="16"/>
                <w:szCs w:val="16"/>
              </w:rPr>
              <w:t>Obręb 12</w:t>
            </w:r>
          </w:p>
          <w:p w14:paraId="5E5DEB0D" w14:textId="77777777" w:rsidR="007F434B" w:rsidRPr="007F434B" w:rsidRDefault="007F434B" w:rsidP="007F434B">
            <w:pPr>
              <w:keepNext/>
              <w:spacing w:after="480"/>
              <w:jc w:val="center"/>
              <w:rPr>
                <w:b/>
                <w:bCs/>
                <w:sz w:val="16"/>
                <w:szCs w:val="16"/>
              </w:rPr>
            </w:pPr>
            <w:r w:rsidRPr="007F434B">
              <w:rPr>
                <w:b/>
                <w:bCs/>
                <w:sz w:val="16"/>
                <w:szCs w:val="16"/>
              </w:rPr>
              <w:t>Stręgielek</w:t>
            </w:r>
          </w:p>
          <w:p w14:paraId="540F2F4F" w14:textId="77777777" w:rsidR="007F434B" w:rsidRPr="007F434B" w:rsidRDefault="007F434B" w:rsidP="007F434B">
            <w:pPr>
              <w:keepNext/>
              <w:spacing w:after="480"/>
              <w:jc w:val="center"/>
              <w:rPr>
                <w:b/>
                <w:bCs/>
                <w:sz w:val="16"/>
                <w:szCs w:val="16"/>
              </w:rPr>
            </w:pPr>
            <w:r w:rsidRPr="007F434B">
              <w:rPr>
                <w:b/>
                <w:bCs/>
                <w:sz w:val="16"/>
                <w:szCs w:val="16"/>
              </w:rPr>
              <w:t>działka nr geod.</w:t>
            </w:r>
          </w:p>
          <w:p w14:paraId="6596BE84" w14:textId="77777777" w:rsidR="007F434B" w:rsidRPr="007F434B" w:rsidRDefault="007F434B" w:rsidP="007F434B">
            <w:pPr>
              <w:keepNext/>
              <w:spacing w:after="480"/>
              <w:jc w:val="center"/>
              <w:rPr>
                <w:b/>
                <w:bCs/>
                <w:sz w:val="16"/>
                <w:szCs w:val="16"/>
              </w:rPr>
            </w:pPr>
          </w:p>
          <w:p w14:paraId="6317BF78" w14:textId="77777777" w:rsidR="007F434B" w:rsidRPr="007F434B" w:rsidRDefault="007F434B" w:rsidP="007F434B">
            <w:pPr>
              <w:keepNext/>
              <w:spacing w:after="480"/>
              <w:jc w:val="center"/>
              <w:rPr>
                <w:b/>
                <w:bCs/>
                <w:sz w:val="16"/>
                <w:szCs w:val="16"/>
              </w:rPr>
            </w:pPr>
            <w:r w:rsidRPr="007F434B">
              <w:rPr>
                <w:b/>
                <w:bCs/>
                <w:sz w:val="16"/>
                <w:szCs w:val="16"/>
              </w:rPr>
              <w:t>161</w:t>
            </w:r>
          </w:p>
        </w:tc>
        <w:tc>
          <w:tcPr>
            <w:tcW w:w="870" w:type="dxa"/>
            <w:tcMar>
              <w:top w:w="0" w:type="dxa"/>
              <w:left w:w="108" w:type="dxa"/>
              <w:bottom w:w="0" w:type="dxa"/>
              <w:right w:w="108" w:type="dxa"/>
            </w:tcMar>
          </w:tcPr>
          <w:p w14:paraId="21193F8E" w14:textId="77777777" w:rsidR="007F434B" w:rsidRPr="007F434B" w:rsidRDefault="007F434B" w:rsidP="007F434B">
            <w:pPr>
              <w:keepNext/>
              <w:spacing w:after="480"/>
              <w:jc w:val="center"/>
              <w:rPr>
                <w:sz w:val="16"/>
                <w:szCs w:val="16"/>
              </w:rPr>
            </w:pPr>
            <w:r w:rsidRPr="007F434B">
              <w:rPr>
                <w:sz w:val="16"/>
                <w:szCs w:val="16"/>
              </w:rPr>
              <w:t>4,6830</w:t>
            </w:r>
          </w:p>
        </w:tc>
        <w:tc>
          <w:tcPr>
            <w:tcW w:w="1350" w:type="dxa"/>
            <w:tcMar>
              <w:top w:w="0" w:type="dxa"/>
              <w:left w:w="108" w:type="dxa"/>
              <w:bottom w:w="0" w:type="dxa"/>
              <w:right w:w="108" w:type="dxa"/>
            </w:tcMar>
          </w:tcPr>
          <w:p w14:paraId="60A7DFB5" w14:textId="77777777" w:rsidR="007F434B" w:rsidRPr="007F434B" w:rsidRDefault="007F434B" w:rsidP="007F434B">
            <w:pPr>
              <w:keepNext/>
              <w:spacing w:after="480"/>
              <w:jc w:val="center"/>
              <w:rPr>
                <w:b/>
                <w:bCs/>
                <w:sz w:val="16"/>
                <w:szCs w:val="16"/>
              </w:rPr>
            </w:pPr>
            <w:r w:rsidRPr="007F434B">
              <w:rPr>
                <w:b/>
                <w:bCs/>
                <w:sz w:val="16"/>
                <w:szCs w:val="16"/>
              </w:rPr>
              <w:t>265.000,00</w:t>
            </w:r>
          </w:p>
        </w:tc>
        <w:tc>
          <w:tcPr>
            <w:tcW w:w="1230" w:type="dxa"/>
            <w:tcMar>
              <w:top w:w="0" w:type="dxa"/>
              <w:left w:w="108" w:type="dxa"/>
              <w:bottom w:w="0" w:type="dxa"/>
              <w:right w:w="108" w:type="dxa"/>
            </w:tcMar>
          </w:tcPr>
          <w:p w14:paraId="233E1AA4" w14:textId="5B9D211A" w:rsidR="007F434B" w:rsidRPr="007F434B" w:rsidRDefault="007F434B" w:rsidP="007F434B">
            <w:pPr>
              <w:keepNext/>
              <w:spacing w:after="480"/>
              <w:jc w:val="center"/>
              <w:rPr>
                <w:sz w:val="16"/>
                <w:szCs w:val="16"/>
              </w:rPr>
            </w:pPr>
            <w:r w:rsidRPr="007F434B">
              <w:rPr>
                <w:sz w:val="16"/>
                <w:szCs w:val="16"/>
              </w:rPr>
              <w:t>KW Nr OL2G/00013373/1 prowadzona przez Sąd Rejonowy w Giżycku VII Zamiejscowy Wydział Ksiąg</w:t>
            </w:r>
            <w:r w:rsidR="00CE33EC">
              <w:rPr>
                <w:sz w:val="16"/>
                <w:szCs w:val="16"/>
              </w:rPr>
              <w:t xml:space="preserve"> </w:t>
            </w:r>
            <w:r w:rsidRPr="007F434B">
              <w:rPr>
                <w:sz w:val="16"/>
                <w:szCs w:val="16"/>
              </w:rPr>
              <w:t>Wieczystych  w Węgorzewie</w:t>
            </w:r>
          </w:p>
        </w:tc>
        <w:tc>
          <w:tcPr>
            <w:tcW w:w="2700" w:type="dxa"/>
            <w:tcMar>
              <w:top w:w="0" w:type="dxa"/>
              <w:left w:w="108" w:type="dxa"/>
              <w:bottom w:w="0" w:type="dxa"/>
              <w:right w:w="108" w:type="dxa"/>
            </w:tcMar>
          </w:tcPr>
          <w:p w14:paraId="2090D108" w14:textId="77777777" w:rsidR="007F434B" w:rsidRPr="007F434B" w:rsidRDefault="007F434B" w:rsidP="007F434B">
            <w:pPr>
              <w:keepNext/>
              <w:spacing w:after="480"/>
              <w:jc w:val="center"/>
              <w:rPr>
                <w:sz w:val="16"/>
                <w:szCs w:val="16"/>
              </w:rPr>
            </w:pPr>
            <w:r w:rsidRPr="007F434B">
              <w:rPr>
                <w:sz w:val="16"/>
                <w:szCs w:val="16"/>
              </w:rPr>
              <w:t>Dla przedmiotowej nieruchomości Gmina Pozezdrze nie ma opracowanego miejscowego planu zagospodarowania przestrzennego oraz gmina nie przystąpiła do opracowania w/w planu oraz nie była wydana decyzja o warunkach zabudowy i zagospodarowania terenu. W „Studium uwarunkowań i kierunków zagospodarowania przestrzennego gminy Pozezdrze” uchwalonym przez Radę Gminy w Pozezdrzu uchwałą nr XII/60/99 z dnia 27 sierpnia 1999 roku przedmiotowa działka położona jest na obszarze jednostki strukturalnej „TR ” o predyspozycjach do rozwoju turystyki, jak rolnictwa na terenie preferowanym do dolesień.</w:t>
            </w:r>
          </w:p>
        </w:tc>
        <w:tc>
          <w:tcPr>
            <w:tcW w:w="2490" w:type="dxa"/>
            <w:tcMar>
              <w:top w:w="0" w:type="dxa"/>
              <w:left w:w="108" w:type="dxa"/>
              <w:bottom w:w="0" w:type="dxa"/>
              <w:right w:w="108" w:type="dxa"/>
            </w:tcMar>
          </w:tcPr>
          <w:p w14:paraId="6EAFF65F" w14:textId="77777777" w:rsidR="007F434B" w:rsidRPr="007F434B" w:rsidRDefault="007F434B" w:rsidP="007F434B">
            <w:pPr>
              <w:keepNext/>
              <w:spacing w:after="40"/>
              <w:jc w:val="center"/>
              <w:rPr>
                <w:sz w:val="16"/>
                <w:szCs w:val="16"/>
              </w:rPr>
            </w:pPr>
          </w:p>
          <w:p w14:paraId="6F8B8BE0" w14:textId="77777777" w:rsidR="007F434B" w:rsidRPr="007F434B" w:rsidRDefault="007F434B" w:rsidP="007F434B">
            <w:pPr>
              <w:keepNext/>
              <w:spacing w:after="40"/>
              <w:jc w:val="center"/>
              <w:rPr>
                <w:sz w:val="16"/>
                <w:szCs w:val="16"/>
              </w:rPr>
            </w:pPr>
            <w:r w:rsidRPr="007F434B">
              <w:rPr>
                <w:sz w:val="16"/>
                <w:szCs w:val="16"/>
              </w:rPr>
              <w:t xml:space="preserve">Działka rolna niezabudowana o nieregularnym kształcie  położona przy zabudowaniach w m. Golikowo dojazd drogą gruntową od m. Gębałka lub Przytuły. położona w otoczeniu gruntów rolnych. jest to grunt rolny o średniej jakości </w:t>
            </w:r>
          </w:p>
          <w:p w14:paraId="578209D5" w14:textId="77777777" w:rsidR="007F434B" w:rsidRPr="007F434B" w:rsidRDefault="007F434B" w:rsidP="007F434B">
            <w:pPr>
              <w:keepNext/>
              <w:spacing w:after="40"/>
              <w:jc w:val="center"/>
              <w:rPr>
                <w:sz w:val="16"/>
                <w:szCs w:val="16"/>
              </w:rPr>
            </w:pPr>
            <w:r w:rsidRPr="007F434B">
              <w:rPr>
                <w:sz w:val="16"/>
                <w:szCs w:val="16"/>
              </w:rPr>
              <w:t>Klasa bonitacyjna gruntów:</w:t>
            </w:r>
          </w:p>
          <w:p w14:paraId="32C01B27" w14:textId="77777777" w:rsidR="007F434B" w:rsidRPr="007F434B" w:rsidRDefault="007F434B" w:rsidP="007F434B">
            <w:pPr>
              <w:keepNext/>
              <w:spacing w:after="40"/>
              <w:jc w:val="center"/>
              <w:rPr>
                <w:sz w:val="16"/>
                <w:szCs w:val="16"/>
              </w:rPr>
            </w:pPr>
            <w:r w:rsidRPr="007F434B">
              <w:rPr>
                <w:sz w:val="16"/>
                <w:szCs w:val="16"/>
              </w:rPr>
              <w:t>ŁIV - 0,2833 ha,</w:t>
            </w:r>
          </w:p>
          <w:p w14:paraId="0EDE7ACB" w14:textId="77777777" w:rsidR="007F434B" w:rsidRPr="007F434B" w:rsidRDefault="007F434B" w:rsidP="007F434B">
            <w:pPr>
              <w:keepNext/>
              <w:spacing w:after="40"/>
              <w:jc w:val="center"/>
              <w:rPr>
                <w:sz w:val="16"/>
                <w:szCs w:val="16"/>
              </w:rPr>
            </w:pPr>
            <w:r w:rsidRPr="007F434B">
              <w:rPr>
                <w:sz w:val="16"/>
                <w:szCs w:val="16"/>
              </w:rPr>
              <w:t>N- 1,8618 ha,</w:t>
            </w:r>
          </w:p>
          <w:p w14:paraId="08196623" w14:textId="77777777" w:rsidR="007F434B" w:rsidRPr="007F434B" w:rsidRDefault="007F434B" w:rsidP="007F434B">
            <w:pPr>
              <w:keepNext/>
              <w:spacing w:after="40"/>
              <w:jc w:val="center"/>
              <w:rPr>
                <w:sz w:val="16"/>
                <w:szCs w:val="16"/>
              </w:rPr>
            </w:pPr>
            <w:r w:rsidRPr="007F434B">
              <w:rPr>
                <w:sz w:val="16"/>
                <w:szCs w:val="16"/>
              </w:rPr>
              <w:t>PsIV-0,7065 ha,</w:t>
            </w:r>
          </w:p>
          <w:p w14:paraId="516FFC85" w14:textId="77777777" w:rsidR="007F434B" w:rsidRPr="007F434B" w:rsidRDefault="007F434B" w:rsidP="007F434B">
            <w:pPr>
              <w:keepNext/>
              <w:spacing w:after="40"/>
              <w:jc w:val="center"/>
              <w:rPr>
                <w:sz w:val="16"/>
                <w:szCs w:val="16"/>
              </w:rPr>
            </w:pPr>
            <w:r w:rsidRPr="007F434B">
              <w:rPr>
                <w:sz w:val="16"/>
                <w:szCs w:val="16"/>
              </w:rPr>
              <w:t>RIVa- 1 5164 ha,</w:t>
            </w:r>
          </w:p>
          <w:p w14:paraId="50374FCF" w14:textId="77777777" w:rsidR="007F434B" w:rsidRPr="007F434B" w:rsidRDefault="007F434B" w:rsidP="007F434B">
            <w:pPr>
              <w:keepNext/>
              <w:spacing w:after="40"/>
              <w:jc w:val="center"/>
              <w:rPr>
                <w:sz w:val="16"/>
                <w:szCs w:val="16"/>
              </w:rPr>
            </w:pPr>
            <w:r w:rsidRPr="007F434B">
              <w:rPr>
                <w:sz w:val="16"/>
                <w:szCs w:val="16"/>
              </w:rPr>
              <w:t>RIVb- 0,3150 ha.</w:t>
            </w:r>
          </w:p>
          <w:p w14:paraId="74FD9BB3" w14:textId="77777777" w:rsidR="007F434B" w:rsidRPr="007F434B" w:rsidRDefault="007F434B" w:rsidP="007F434B">
            <w:pPr>
              <w:keepNext/>
              <w:spacing w:after="40"/>
              <w:jc w:val="center"/>
              <w:rPr>
                <w:sz w:val="16"/>
                <w:szCs w:val="16"/>
              </w:rPr>
            </w:pPr>
            <w:r w:rsidRPr="007F434B">
              <w:rPr>
                <w:sz w:val="16"/>
                <w:szCs w:val="16"/>
              </w:rPr>
              <w:t>Działka jest objęta umową dzierżawy dzierżawa do dnia 30.09.2021 r.</w:t>
            </w:r>
          </w:p>
          <w:p w14:paraId="404B2A9F" w14:textId="77777777" w:rsidR="007F434B" w:rsidRPr="007F434B" w:rsidRDefault="007F434B" w:rsidP="007F434B">
            <w:pPr>
              <w:keepNext/>
              <w:spacing w:after="40"/>
              <w:jc w:val="center"/>
              <w:rPr>
                <w:sz w:val="16"/>
                <w:szCs w:val="16"/>
              </w:rPr>
            </w:pPr>
          </w:p>
          <w:p w14:paraId="1EAEF4B3" w14:textId="77777777" w:rsidR="007F434B" w:rsidRPr="007F434B" w:rsidRDefault="007F434B" w:rsidP="007F434B">
            <w:pPr>
              <w:keepNext/>
              <w:spacing w:after="40"/>
              <w:jc w:val="center"/>
              <w:rPr>
                <w:sz w:val="16"/>
                <w:szCs w:val="16"/>
              </w:rPr>
            </w:pPr>
          </w:p>
        </w:tc>
      </w:tr>
    </w:tbl>
    <w:p w14:paraId="24AD7F5B" w14:textId="77777777" w:rsidR="007F434B" w:rsidRPr="007F434B" w:rsidRDefault="007F434B" w:rsidP="007F434B">
      <w:pPr>
        <w:keepNext/>
        <w:autoSpaceDE w:val="0"/>
        <w:autoSpaceDN w:val="0"/>
        <w:adjustRightInd w:val="0"/>
        <w:spacing w:after="60" w:line="240" w:lineRule="auto"/>
        <w:ind w:firstLine="346"/>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 xml:space="preserve">1. Zgodnie z przepisami  ustawy z dnia 11 marca 2004 r. o podatku od towarów i usług (tj. Dz. U z 2020 r. , poz. 106 ze zm.)  sprzedaż </w:t>
      </w:r>
      <w:proofErr w:type="spellStart"/>
      <w:r w:rsidRPr="007F434B">
        <w:rPr>
          <w:rFonts w:ascii="Times New Roman" w:eastAsia="Times New Roman" w:hAnsi="Times New Roman" w:cs="Times New Roman"/>
          <w:color w:val="000000"/>
          <w:shd w:val="clear" w:color="auto" w:fill="FFFFFF"/>
          <w:lang w:eastAsia="pl-PL"/>
        </w:rPr>
        <w:t>ww</w:t>
      </w:r>
      <w:proofErr w:type="spellEnd"/>
      <w:r w:rsidRPr="007F434B">
        <w:rPr>
          <w:rFonts w:ascii="Times New Roman" w:eastAsia="Times New Roman" w:hAnsi="Times New Roman" w:cs="Times New Roman"/>
          <w:color w:val="000000"/>
          <w:shd w:val="clear" w:color="auto" w:fill="FFFFFF"/>
          <w:lang w:eastAsia="pl-PL"/>
        </w:rPr>
        <w:t xml:space="preserve"> nieruchomości jest zwolniona z podatku VAT.</w:t>
      </w:r>
    </w:p>
    <w:p w14:paraId="2EFB8766" w14:textId="77777777" w:rsidR="007F434B" w:rsidRPr="007F434B" w:rsidRDefault="007F434B" w:rsidP="007F434B">
      <w:pPr>
        <w:keepNext/>
        <w:autoSpaceDE w:val="0"/>
        <w:autoSpaceDN w:val="0"/>
        <w:adjustRightInd w:val="0"/>
        <w:spacing w:after="60" w:line="240" w:lineRule="auto"/>
        <w:ind w:firstLine="346"/>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2. Niniejszy wykaz podaje się do publicznej wiadomości poprzez wywieszenie na okres 21 dni na tablicy ogłoszeń w Urzędzie Gminy w Pozezdrzu przy ul. 1 Maja 1A, 11-610 Pozezdrze, oraz zamieszcza się na stronach internetowych właściwego urzędu.</w:t>
      </w:r>
    </w:p>
    <w:p w14:paraId="02861685" w14:textId="77777777" w:rsidR="007F434B" w:rsidRPr="007F434B" w:rsidRDefault="007F434B" w:rsidP="007F434B">
      <w:pPr>
        <w:keepNext/>
        <w:autoSpaceDE w:val="0"/>
        <w:autoSpaceDN w:val="0"/>
        <w:adjustRightInd w:val="0"/>
        <w:spacing w:after="60" w:line="240" w:lineRule="auto"/>
        <w:ind w:firstLine="346"/>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3. Zgodnie z art. 34 ust.1 pkt.1 i 2  ustawy z dnia 21 sierpnia 1997 r. o gospodarce nieruchomościami (tj. Dz. U z 2020 r. poz. 65 ze  zm.) pierwszeństwo w nabyciu w/w nieruchomości, z zastrzeżeniem art. 216a, przysługuje osobie, która spełnia jeden z następujących warunków:</w:t>
      </w:r>
    </w:p>
    <w:p w14:paraId="6D1AA436" w14:textId="77777777" w:rsidR="007F434B" w:rsidRPr="007F434B" w:rsidRDefault="007F434B" w:rsidP="007F434B">
      <w:pPr>
        <w:keepNext/>
        <w:autoSpaceDE w:val="0"/>
        <w:autoSpaceDN w:val="0"/>
        <w:adjustRightInd w:val="0"/>
        <w:spacing w:after="60" w:line="240" w:lineRule="auto"/>
        <w:ind w:left="288" w:hanging="288"/>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1)  przysługuje jej roszczenie o nabycie nieruchomości z mocy niniejszej ustawy lub odrębnych przepisów,</w:t>
      </w:r>
    </w:p>
    <w:p w14:paraId="321A98CB" w14:textId="77777777" w:rsidR="007F434B" w:rsidRPr="007F434B" w:rsidRDefault="007F434B" w:rsidP="007F434B">
      <w:pPr>
        <w:keepNext/>
        <w:autoSpaceDE w:val="0"/>
        <w:autoSpaceDN w:val="0"/>
        <w:adjustRightInd w:val="0"/>
        <w:spacing w:after="60" w:line="240" w:lineRule="auto"/>
        <w:ind w:left="288" w:hanging="288"/>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2) jest poprzednim właścicielem zbywanej nieruchomości pozbawionym prawa własności tej nieruchomości przed 5 grudnia 1990 r. albo jego spadkobiercą.</w:t>
      </w:r>
    </w:p>
    <w:p w14:paraId="416460D0" w14:textId="77777777" w:rsidR="007F434B" w:rsidRPr="007F434B" w:rsidRDefault="007F434B" w:rsidP="007F434B">
      <w:pPr>
        <w:keepNext/>
        <w:autoSpaceDE w:val="0"/>
        <w:autoSpaceDN w:val="0"/>
        <w:adjustRightInd w:val="0"/>
        <w:spacing w:after="60" w:line="240" w:lineRule="auto"/>
        <w:ind w:firstLine="346"/>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 xml:space="preserve">4. Osoby, o których mowa powyżej, korzystają z pierwszeństwa w nabyciu nieruchomości jeżeli złożą wniosek o nabycie nieruchomości w terminie do dnia </w:t>
      </w:r>
      <w:r w:rsidRPr="007F434B">
        <w:rPr>
          <w:rFonts w:ascii="Times New Roman" w:eastAsia="Times New Roman" w:hAnsi="Times New Roman" w:cs="Times New Roman"/>
          <w:b/>
          <w:bCs/>
          <w:color w:val="000000"/>
          <w:shd w:val="clear" w:color="auto" w:fill="FFFFFF"/>
          <w:lang w:eastAsia="pl-PL"/>
        </w:rPr>
        <w:t>12</w:t>
      </w:r>
      <w:r w:rsidRPr="007F434B">
        <w:rPr>
          <w:rFonts w:ascii="Times New Roman" w:eastAsia="Times New Roman" w:hAnsi="Times New Roman" w:cs="Times New Roman"/>
          <w:b/>
          <w:bCs/>
          <w:color w:val="000000"/>
          <w:u w:val="single"/>
          <w:shd w:val="clear" w:color="auto" w:fill="FFFFFF"/>
          <w:lang w:eastAsia="pl-PL"/>
        </w:rPr>
        <w:t xml:space="preserve"> sierpnia 2020 r.</w:t>
      </w:r>
      <w:r w:rsidRPr="007F434B">
        <w:rPr>
          <w:rFonts w:ascii="Times New Roman" w:eastAsia="Times New Roman" w:hAnsi="Times New Roman" w:cs="Times New Roman"/>
          <w:color w:val="000000"/>
          <w:shd w:val="clear" w:color="auto" w:fill="FFFFFF"/>
          <w:lang w:eastAsia="pl-PL"/>
        </w:rPr>
        <w:t xml:space="preserve"> i złożą oświadczenie, że wyrażają zgodę na ceną ustaloną w sposób określony w ustawie. W przypadku zbiegu uprawnień do pierwszeństwa w nabyciu, stosuje się kolejność wymienioną powyżej. O ile w/w nieruchomość nie zostanie sprzedana na </w:t>
      </w:r>
      <w:r w:rsidRPr="007F434B">
        <w:rPr>
          <w:rFonts w:ascii="Times New Roman" w:eastAsia="Times New Roman" w:hAnsi="Times New Roman" w:cs="Times New Roman"/>
          <w:color w:val="000000"/>
          <w:shd w:val="clear" w:color="auto" w:fill="FFFFFF"/>
          <w:lang w:eastAsia="pl-PL"/>
        </w:rPr>
        <w:lastRenderedPageBreak/>
        <w:t>zasadach określonych wyżej albo co do której przepisy nie mają zastosowania, podlegają sprzedaży w trybie przetargu ustnego nieograniczonego.</w:t>
      </w:r>
    </w:p>
    <w:p w14:paraId="42E2E6D3" w14:textId="77777777" w:rsidR="007F434B" w:rsidRPr="007F434B" w:rsidRDefault="007F434B" w:rsidP="007F434B">
      <w:pPr>
        <w:keepNext/>
        <w:autoSpaceDE w:val="0"/>
        <w:autoSpaceDN w:val="0"/>
        <w:adjustRightInd w:val="0"/>
        <w:spacing w:after="60" w:line="240" w:lineRule="auto"/>
        <w:ind w:firstLine="346"/>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5. Cudzoziemcy chcący nabyć powyższą nieruchomość  powinni spełniać warunki zawarte w ustawie z dnia 24 marca 1920 r. o nabyciu nieruchomości przez cudzoziemców ( tj. Dz. U. z 2016 r. poz. 1061  r. ze zm.).</w:t>
      </w:r>
    </w:p>
    <w:p w14:paraId="15BE0FA3" w14:textId="77777777" w:rsidR="007F434B" w:rsidRPr="007F434B" w:rsidRDefault="007F434B" w:rsidP="007F434B">
      <w:pPr>
        <w:shd w:val="clear" w:color="auto" w:fill="FFFFFF"/>
        <w:tabs>
          <w:tab w:val="left" w:pos="357"/>
        </w:tabs>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 xml:space="preserve">   6. Zgodnie z przepisami  ustawy z dnia 11 kwietnia 2003 r. o kształtowaniu ustroju rolnego, nabywcą nieruchomości rolnej może być wyłącznie rolnik indywidualny, chyba że ustawa stanowi inaczej. 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ust. 3 ustawy.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  W przetargu mogą wziąć udział osoby, które spełnią warunki określone definicją rolnika indywidualnego i będą w stanie po wyłonieniu na nabywcę przedłożyć w Kancelarii Notarialnej dokumenty potwierdzające spełnienie warunków do nabycia nieruchomości rolnej, o których mowa  w art. 7 cytowanej wyżej ustawy (między innymi: oświadczenie o osobistym prowadzeniu gospodarstwa rolnego przez okres co najmniej 5 lat poświadczone przez wójta(burmistrza), oświadczenie o łącznej powierzchni użytków rolnych stanowiących własność, użytkowanie wieczyste, będących w samoistnym posiadaniu, dzierżawionych przez rolnika indywidualnego, zaświadczenie o zameldowaniu na pobyt stały). Nabycie przedmiotowych nieruchomości przez inny podmiot niż rolnik indywidualny w rozumieniu ustawy o kształtowaniu ustroju rolnego może nastąpić za zgodą Prezesa Krajowego Ośrodka Wsparcia Rolnictwa (Oddział Terenowy w Olsztynie) wyrażoną w drodze decyzji administracyjnej wydanej na wniosek zbywcy nieruchomości. Krajowemu Ośrodkowi Wsparcia Rolnictwa przysługuje prawo pierwokupu nieruchomości, z wyjątkiem przypadku, gdy nabywca ustalony w wyniku przetargu nabywa nieruchomość na powiększenie gospodarstwa rodzinnego jednak do powierzchni nie większej niż 300 ha, a nabywana nieruchomość rolna jest położona w gminie, w której ma miejsce zamieszkania nabywca lub gminie graniczącej z tą gminą.</w:t>
      </w:r>
    </w:p>
    <w:p w14:paraId="376A91AB" w14:textId="77777777" w:rsidR="007F434B" w:rsidRPr="007F434B" w:rsidRDefault="007F434B" w:rsidP="007F434B">
      <w:pPr>
        <w:keepNext/>
        <w:autoSpaceDE w:val="0"/>
        <w:autoSpaceDN w:val="0"/>
        <w:adjustRightInd w:val="0"/>
        <w:spacing w:after="60" w:line="240" w:lineRule="auto"/>
        <w:ind w:firstLine="346"/>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8.  Z uwagi, iż działka nr geod. 161 w  znajduje się w dzierżawie, osoba, która dokona zakupu ww. działki, na podstawie art. 678 kc w czasie trwania umowy dzierżawy wstępuje w stosunek dzierżawy w miejsce zbywcy.</w:t>
      </w:r>
    </w:p>
    <w:p w14:paraId="0E632278" w14:textId="77777777" w:rsidR="007F434B" w:rsidRPr="007F434B" w:rsidRDefault="007F434B" w:rsidP="007F434B">
      <w:pPr>
        <w:keepNext/>
        <w:autoSpaceDE w:val="0"/>
        <w:autoSpaceDN w:val="0"/>
        <w:adjustRightInd w:val="0"/>
        <w:spacing w:after="60" w:line="240" w:lineRule="auto"/>
        <w:ind w:firstLine="346"/>
        <w:jc w:val="both"/>
        <w:rPr>
          <w:rFonts w:ascii="Times New Roman" w:eastAsia="Times New Roman" w:hAnsi="Times New Roman" w:cs="Times New Roman"/>
          <w:color w:val="000000"/>
          <w:shd w:val="clear" w:color="auto" w:fill="FFFFFF"/>
          <w:lang w:eastAsia="pl-PL"/>
        </w:rPr>
      </w:pPr>
      <w:r w:rsidRPr="007F434B">
        <w:rPr>
          <w:rFonts w:ascii="Times New Roman" w:eastAsia="Times New Roman" w:hAnsi="Times New Roman" w:cs="Times New Roman"/>
          <w:color w:val="000000"/>
          <w:shd w:val="clear" w:color="auto" w:fill="FFFFFF"/>
          <w:lang w:eastAsia="pl-PL"/>
        </w:rPr>
        <w:t>9.  Szczegółowe informacje można uzyskać w Urzędzie Gminy w Pozezdrzu przy ul. 1 Maja 1A, Referat Rozwoju Gminy i Przedsięwzięć Publicznych  - pokój nr 13, tel.: 874279006 wew.46.</w:t>
      </w:r>
    </w:p>
    <w:p w14:paraId="0989C9F0" w14:textId="77777777" w:rsidR="004125D4" w:rsidRDefault="004125D4"/>
    <w:sectPr w:rsidR="004125D4" w:rsidSect="00384E7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4B"/>
    <w:rsid w:val="004125D4"/>
    <w:rsid w:val="007F434B"/>
    <w:rsid w:val="00CE3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7F13"/>
  <w15:chartTrackingRefBased/>
  <w15:docId w15:val="{99876BDC-B3B5-4EEB-B42D-6AD52E21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7F434B"/>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5523</Characters>
  <Application>Microsoft Office Word</Application>
  <DocSecurity>0</DocSecurity>
  <Lines>46</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Kopczyński Wojciech</dc:creator>
  <cp:keywords/>
  <dc:description/>
  <cp:lastModifiedBy>Kopczyński Wojciech</cp:lastModifiedBy>
  <cp:revision>2</cp:revision>
  <dcterms:created xsi:type="dcterms:W3CDTF">2020-06-29T11:51:00Z</dcterms:created>
  <dcterms:modified xsi:type="dcterms:W3CDTF">2020-06-29T11:55:00Z</dcterms:modified>
</cp:coreProperties>
</file>