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2405"/>
        <w:gridCol w:w="6657"/>
      </w:tblGrid>
      <w:tr w:rsidR="008079DF" w14:paraId="4D1FB6C4" w14:textId="77777777" w:rsidTr="006D5D41">
        <w:tc>
          <w:tcPr>
            <w:tcW w:w="2405" w:type="dxa"/>
            <w:shd w:val="clear" w:color="auto" w:fill="D9D9D9" w:themeFill="background1" w:themeFillShade="D9"/>
          </w:tcPr>
          <w:p w14:paraId="1F0588E2" w14:textId="77777777" w:rsidR="008079DF" w:rsidRDefault="008079DF" w:rsidP="006D5D41">
            <w:r>
              <w:t>Kod RWA</w:t>
            </w:r>
          </w:p>
        </w:tc>
        <w:tc>
          <w:tcPr>
            <w:tcW w:w="6657" w:type="dxa"/>
          </w:tcPr>
          <w:p w14:paraId="3260F83B" w14:textId="62AB64BE" w:rsidR="008079DF" w:rsidRPr="003B7EE1" w:rsidRDefault="00DA33ED" w:rsidP="006D5D41">
            <w:pPr>
              <w:rPr>
                <w:rFonts w:cstheme="minorHAnsi"/>
                <w:sz w:val="20"/>
                <w:szCs w:val="20"/>
              </w:rPr>
            </w:pPr>
            <w:r>
              <w:rPr>
                <w:rFonts w:cstheme="minorHAnsi"/>
                <w:sz w:val="20"/>
                <w:szCs w:val="20"/>
              </w:rPr>
              <w:t>5361</w:t>
            </w:r>
          </w:p>
        </w:tc>
      </w:tr>
      <w:tr w:rsidR="008079DF" w14:paraId="2B1B77E3" w14:textId="77777777" w:rsidTr="006D5D41">
        <w:tc>
          <w:tcPr>
            <w:tcW w:w="2405" w:type="dxa"/>
            <w:shd w:val="clear" w:color="auto" w:fill="D9D9D9" w:themeFill="background1" w:themeFillShade="D9"/>
          </w:tcPr>
          <w:p w14:paraId="54B3540B" w14:textId="77777777" w:rsidR="008079DF" w:rsidRDefault="008079DF" w:rsidP="006D5D41">
            <w:r>
              <w:t>Nazwa sprawy</w:t>
            </w:r>
          </w:p>
        </w:tc>
        <w:tc>
          <w:tcPr>
            <w:tcW w:w="6657" w:type="dxa"/>
          </w:tcPr>
          <w:p w14:paraId="7EAC17D6" w14:textId="3F5A97F3" w:rsidR="008079DF" w:rsidRPr="003B7EE1" w:rsidRDefault="00DA33ED" w:rsidP="006D5D41">
            <w:pPr>
              <w:pStyle w:val="NormalnyWeb"/>
              <w:spacing w:before="0" w:beforeAutospacing="0" w:after="0" w:afterAutospacing="0"/>
              <w:ind w:left="126"/>
              <w:jc w:val="center"/>
              <w:rPr>
                <w:rFonts w:asciiTheme="minorHAnsi" w:hAnsiTheme="minorHAnsi" w:cstheme="minorHAnsi"/>
                <w:sz w:val="20"/>
                <w:szCs w:val="20"/>
              </w:rPr>
            </w:pPr>
            <w:r>
              <w:rPr>
                <w:rFonts w:asciiTheme="minorHAnsi" w:hAnsiTheme="minorHAnsi" w:cstheme="minorHAnsi"/>
                <w:sz w:val="20"/>
                <w:szCs w:val="20"/>
              </w:rPr>
              <w:t>Sprawy Obywatelskie i Społeczne</w:t>
            </w:r>
          </w:p>
        </w:tc>
      </w:tr>
      <w:tr w:rsidR="008079DF" w14:paraId="0E1593D3" w14:textId="77777777" w:rsidTr="006D5D41">
        <w:tc>
          <w:tcPr>
            <w:tcW w:w="2405" w:type="dxa"/>
            <w:shd w:val="clear" w:color="auto" w:fill="D9D9D9" w:themeFill="background1" w:themeFillShade="D9"/>
          </w:tcPr>
          <w:p w14:paraId="57D2FEC7" w14:textId="77777777" w:rsidR="008079DF" w:rsidRDefault="008079DF" w:rsidP="006D5D41">
            <w:r>
              <w:t>Kategoria Sprawy</w:t>
            </w:r>
          </w:p>
        </w:tc>
        <w:tc>
          <w:tcPr>
            <w:tcW w:w="6657" w:type="dxa"/>
          </w:tcPr>
          <w:p w14:paraId="548504CA" w14:textId="1D469DC7" w:rsidR="008079DF" w:rsidRPr="008079DF" w:rsidRDefault="008079DF" w:rsidP="008079DF">
            <w:pPr>
              <w:spacing w:before="100" w:beforeAutospacing="1" w:after="100" w:afterAutospacing="1"/>
              <w:outlineLvl w:val="1"/>
              <w:rPr>
                <w:rFonts w:ascii="open_sansregular" w:eastAsia="Times New Roman" w:hAnsi="open_sansregular" w:cs="Times New Roman"/>
                <w:caps/>
                <w:color w:val="4C4B4B"/>
                <w:sz w:val="24"/>
                <w:szCs w:val="24"/>
                <w:lang w:eastAsia="pl-PL"/>
              </w:rPr>
            </w:pPr>
            <w:r w:rsidRPr="008079DF">
              <w:rPr>
                <w:rFonts w:ascii="open_sansregular" w:eastAsia="Times New Roman" w:hAnsi="open_sansregular" w:cs="Times New Roman"/>
                <w:caps/>
                <w:color w:val="4C4B4B"/>
                <w:sz w:val="24"/>
                <w:szCs w:val="24"/>
                <w:lang w:eastAsia="pl-PL"/>
              </w:rPr>
              <w:t xml:space="preserve">Zaświadczenie do ślubu konkordatowego </w:t>
            </w:r>
            <w:bookmarkStart w:id="0" w:name="_GoBack"/>
            <w:bookmarkEnd w:id="0"/>
          </w:p>
        </w:tc>
      </w:tr>
      <w:tr w:rsidR="008079DF" w14:paraId="15FB256A" w14:textId="77777777" w:rsidTr="006D5D41">
        <w:tc>
          <w:tcPr>
            <w:tcW w:w="2405" w:type="dxa"/>
            <w:shd w:val="clear" w:color="auto" w:fill="D9D9D9" w:themeFill="background1" w:themeFillShade="D9"/>
          </w:tcPr>
          <w:p w14:paraId="6CD4C258" w14:textId="77777777" w:rsidR="008079DF" w:rsidRDefault="008079DF" w:rsidP="006D5D41">
            <w:r>
              <w:t>Jednostka wykonująca</w:t>
            </w:r>
          </w:p>
        </w:tc>
        <w:tc>
          <w:tcPr>
            <w:tcW w:w="6657" w:type="dxa"/>
          </w:tcPr>
          <w:p w14:paraId="393088C1" w14:textId="55CAA98D" w:rsidR="008079DF" w:rsidRPr="003B7EE1" w:rsidRDefault="008079DF" w:rsidP="006D5D41">
            <w:pPr>
              <w:rPr>
                <w:rFonts w:cstheme="minorHAnsi"/>
                <w:sz w:val="20"/>
                <w:szCs w:val="20"/>
              </w:rPr>
            </w:pPr>
            <w:r>
              <w:rPr>
                <w:rFonts w:cstheme="minorHAnsi"/>
                <w:sz w:val="20"/>
                <w:szCs w:val="20"/>
              </w:rPr>
              <w:t xml:space="preserve">Urząd Stanu Cywilnego </w:t>
            </w:r>
          </w:p>
        </w:tc>
      </w:tr>
      <w:tr w:rsidR="008079DF" w14:paraId="581C0A40" w14:textId="77777777" w:rsidTr="006D5D41">
        <w:tc>
          <w:tcPr>
            <w:tcW w:w="2405" w:type="dxa"/>
            <w:shd w:val="clear" w:color="auto" w:fill="D9D9D9" w:themeFill="background1" w:themeFillShade="D9"/>
          </w:tcPr>
          <w:p w14:paraId="5ED70A0E" w14:textId="77777777" w:rsidR="008079DF" w:rsidRDefault="008079DF" w:rsidP="006D5D41">
            <w:r>
              <w:t xml:space="preserve">Wymagane dokumenty </w:t>
            </w:r>
          </w:p>
        </w:tc>
        <w:tc>
          <w:tcPr>
            <w:tcW w:w="6657" w:type="dxa"/>
          </w:tcPr>
          <w:p w14:paraId="0084F42A" w14:textId="6F383E28" w:rsidR="008079DF" w:rsidRPr="00E40876" w:rsidRDefault="008079DF" w:rsidP="008079DF">
            <w:pPr>
              <w:shd w:val="clear" w:color="auto" w:fill="F4F2F2"/>
              <w:spacing w:before="100" w:beforeAutospacing="1" w:after="100" w:afterAutospacing="1" w:line="375" w:lineRule="atLeast"/>
              <w:jc w:val="both"/>
              <w:rPr>
                <w:rFonts w:ascii="open_sanslight" w:eastAsia="Times New Roman" w:hAnsi="open_sanslight" w:cs="Times New Roman"/>
                <w:color w:val="4C4B4B"/>
                <w:sz w:val="24"/>
                <w:szCs w:val="24"/>
                <w:lang w:eastAsia="pl-PL"/>
              </w:rPr>
            </w:pPr>
            <w:r>
              <w:rPr>
                <w:rFonts w:ascii="open_sanslight" w:eastAsia="Times New Roman" w:hAnsi="open_sanslight" w:cs="Times New Roman"/>
                <w:color w:val="4C4B4B"/>
                <w:sz w:val="24"/>
                <w:szCs w:val="24"/>
                <w:lang w:eastAsia="pl-PL"/>
              </w:rPr>
              <w:t>1</w:t>
            </w:r>
            <w:r w:rsidRPr="00E40876">
              <w:rPr>
                <w:rFonts w:ascii="open_sanslight" w:eastAsia="Times New Roman" w:hAnsi="open_sanslight" w:cs="Times New Roman"/>
                <w:color w:val="4C4B4B"/>
                <w:sz w:val="24"/>
                <w:szCs w:val="24"/>
                <w:lang w:eastAsia="pl-PL"/>
              </w:rPr>
              <w:t>. Dokument tożsamości (dowód osobisty lub paszport) do wglądu</w:t>
            </w:r>
          </w:p>
          <w:p w14:paraId="0797A00A" w14:textId="77777777" w:rsidR="008079DF" w:rsidRPr="00E40876" w:rsidRDefault="008079DF" w:rsidP="008079DF">
            <w:pPr>
              <w:shd w:val="clear" w:color="auto" w:fill="F4F2F2"/>
              <w:spacing w:before="100" w:beforeAutospacing="1" w:after="100" w:afterAutospacing="1" w:line="375" w:lineRule="atLeast"/>
              <w:jc w:val="both"/>
              <w:rPr>
                <w:rFonts w:ascii="open_sanslight" w:eastAsia="Times New Roman" w:hAnsi="open_sanslight" w:cs="Times New Roman"/>
                <w:color w:val="4C4B4B"/>
                <w:sz w:val="24"/>
                <w:szCs w:val="24"/>
                <w:lang w:eastAsia="pl-PL"/>
              </w:rPr>
            </w:pPr>
            <w:r w:rsidRPr="00E40876">
              <w:rPr>
                <w:rFonts w:ascii="open_sanslight" w:eastAsia="Times New Roman" w:hAnsi="open_sanslight" w:cs="Times New Roman"/>
                <w:color w:val="4C4B4B"/>
                <w:sz w:val="24"/>
                <w:szCs w:val="24"/>
                <w:lang w:eastAsia="pl-PL"/>
              </w:rPr>
              <w:t>2.  Nupturienci składają osobiście, pisemne zapewnienie, że nie wiedzą o okolicznościach wyłączających zawarcie małżeństwa</w:t>
            </w:r>
          </w:p>
          <w:p w14:paraId="5EE35CA0" w14:textId="77777777" w:rsidR="008079DF" w:rsidRPr="00E40876" w:rsidRDefault="008079DF" w:rsidP="008079DF">
            <w:pPr>
              <w:shd w:val="clear" w:color="auto" w:fill="F4F2F2"/>
              <w:spacing w:before="100" w:beforeAutospacing="1" w:after="100" w:afterAutospacing="1" w:line="375" w:lineRule="atLeast"/>
              <w:jc w:val="both"/>
              <w:rPr>
                <w:rFonts w:ascii="open_sanslight" w:eastAsia="Times New Roman" w:hAnsi="open_sanslight" w:cs="Times New Roman"/>
                <w:color w:val="4C4B4B"/>
                <w:sz w:val="24"/>
                <w:szCs w:val="24"/>
                <w:lang w:eastAsia="pl-PL"/>
              </w:rPr>
            </w:pPr>
            <w:r w:rsidRPr="00E40876">
              <w:rPr>
                <w:rFonts w:ascii="open_sanslight" w:eastAsia="Times New Roman" w:hAnsi="open_sanslight" w:cs="Times New Roman"/>
                <w:color w:val="4C4B4B"/>
                <w:sz w:val="24"/>
                <w:szCs w:val="24"/>
                <w:lang w:eastAsia="pl-PL"/>
              </w:rPr>
              <w:t>3. Zezwolenie na zawarcie małżeństwa, jeżeli wymagają tego przepisy Kodeksu rodzinnego i opiekuńczego.</w:t>
            </w:r>
          </w:p>
          <w:p w14:paraId="7AA99DEA" w14:textId="26B90E11" w:rsidR="008079DF" w:rsidRPr="004041FF" w:rsidRDefault="008079DF" w:rsidP="004041FF">
            <w:pPr>
              <w:shd w:val="clear" w:color="auto" w:fill="F4F2F2"/>
              <w:spacing w:before="100" w:beforeAutospacing="1" w:after="100" w:afterAutospacing="1" w:line="375" w:lineRule="atLeast"/>
              <w:jc w:val="both"/>
              <w:rPr>
                <w:rFonts w:ascii="open_sanslight" w:eastAsia="Times New Roman" w:hAnsi="open_sanslight" w:cs="Times New Roman"/>
                <w:color w:val="4C4B4B"/>
                <w:sz w:val="24"/>
                <w:szCs w:val="24"/>
                <w:lang w:eastAsia="pl-PL"/>
              </w:rPr>
            </w:pPr>
            <w:r w:rsidRPr="00E40876">
              <w:rPr>
                <w:rFonts w:ascii="open_sanslight" w:eastAsia="Times New Roman" w:hAnsi="open_sanslight" w:cs="Times New Roman"/>
                <w:color w:val="4C4B4B"/>
                <w:sz w:val="24"/>
                <w:szCs w:val="24"/>
                <w:lang w:eastAsia="pl-PL"/>
              </w:rPr>
              <w:t xml:space="preserve">Jeśli akty stanu cywilnego dot. nupturientów nie są sporządzone w USC </w:t>
            </w:r>
            <w:r w:rsidR="006F6070">
              <w:rPr>
                <w:rFonts w:ascii="open_sanslight" w:eastAsia="Times New Roman" w:hAnsi="open_sanslight" w:cs="Times New Roman"/>
                <w:color w:val="4C4B4B"/>
                <w:sz w:val="24"/>
                <w:szCs w:val="24"/>
                <w:lang w:eastAsia="pl-PL"/>
              </w:rPr>
              <w:t xml:space="preserve">Pozezdrze, </w:t>
            </w:r>
            <w:r w:rsidRPr="00E40876">
              <w:rPr>
                <w:rFonts w:ascii="open_sanslight" w:eastAsia="Times New Roman" w:hAnsi="open_sanslight" w:cs="Times New Roman"/>
                <w:color w:val="4C4B4B"/>
                <w:sz w:val="24"/>
                <w:szCs w:val="24"/>
                <w:lang w:eastAsia="pl-PL"/>
              </w:rPr>
              <w:t>wówczas kierownik USC wystąpi do właściwego urzędu celem ich wprowadzenia do rejestru stanu cywilnego. Podpisanie zapewnienia może odbyć się po uzyskaniu aktów stanu cywilnego dot. nupturientów.</w:t>
            </w:r>
          </w:p>
        </w:tc>
      </w:tr>
      <w:tr w:rsidR="008079DF" w14:paraId="43C4073F" w14:textId="77777777" w:rsidTr="006D5D41">
        <w:tc>
          <w:tcPr>
            <w:tcW w:w="2405" w:type="dxa"/>
            <w:shd w:val="clear" w:color="auto" w:fill="D9D9D9" w:themeFill="background1" w:themeFillShade="D9"/>
          </w:tcPr>
          <w:p w14:paraId="46C216FC" w14:textId="77777777" w:rsidR="008079DF" w:rsidRDefault="008079DF" w:rsidP="006D5D41">
            <w:r>
              <w:t>Miejsce złożenia dokumentów</w:t>
            </w:r>
          </w:p>
        </w:tc>
        <w:tc>
          <w:tcPr>
            <w:tcW w:w="6657" w:type="dxa"/>
          </w:tcPr>
          <w:p w14:paraId="1EF8A44E" w14:textId="47DD897E" w:rsidR="008079DF" w:rsidRPr="008079DF" w:rsidRDefault="008079DF" w:rsidP="008079DF">
            <w:pPr>
              <w:shd w:val="clear" w:color="auto" w:fill="F4F2F2"/>
              <w:spacing w:before="100" w:beforeAutospacing="1" w:after="100" w:afterAutospacing="1" w:line="375" w:lineRule="atLeast"/>
              <w:jc w:val="both"/>
              <w:rPr>
                <w:rFonts w:ascii="open_sanslight" w:eastAsia="Times New Roman" w:hAnsi="open_sanslight" w:cs="Times New Roman"/>
                <w:color w:val="4C4B4B"/>
                <w:sz w:val="24"/>
                <w:szCs w:val="24"/>
                <w:lang w:eastAsia="pl-PL"/>
              </w:rPr>
            </w:pPr>
            <w:r w:rsidRPr="00E40876">
              <w:rPr>
                <w:rFonts w:ascii="open_sanslight" w:eastAsia="Times New Roman" w:hAnsi="open_sanslight" w:cs="Times New Roman"/>
                <w:color w:val="4C4B4B"/>
                <w:sz w:val="24"/>
                <w:szCs w:val="24"/>
                <w:lang w:eastAsia="pl-PL"/>
              </w:rPr>
              <w:t xml:space="preserve">Urząd Stanu Cywilnego w </w:t>
            </w:r>
            <w:r w:rsidR="0051125B">
              <w:rPr>
                <w:rFonts w:ascii="open_sanslight" w:eastAsia="Times New Roman" w:hAnsi="open_sanslight" w:cs="Times New Roman"/>
                <w:color w:val="4C4B4B"/>
                <w:sz w:val="24"/>
                <w:szCs w:val="24"/>
                <w:lang w:eastAsia="pl-PL"/>
              </w:rPr>
              <w:t>Pozezdrzu</w:t>
            </w:r>
            <w:r w:rsidRPr="00E40876">
              <w:rPr>
                <w:rFonts w:ascii="open_sanslight" w:eastAsia="Times New Roman" w:hAnsi="open_sanslight" w:cs="Times New Roman"/>
                <w:color w:val="4C4B4B"/>
                <w:sz w:val="24"/>
                <w:szCs w:val="24"/>
                <w:lang w:eastAsia="pl-PL"/>
              </w:rPr>
              <w:t xml:space="preserve">, Kierownik USC oraz Zastępca Kierownika USC, pok. Nr </w:t>
            </w:r>
            <w:r w:rsidR="0051125B">
              <w:rPr>
                <w:rFonts w:ascii="open_sanslight" w:eastAsia="Times New Roman" w:hAnsi="open_sanslight" w:cs="Times New Roman"/>
                <w:color w:val="4C4B4B"/>
                <w:sz w:val="24"/>
                <w:szCs w:val="24"/>
                <w:lang w:eastAsia="pl-PL"/>
              </w:rPr>
              <w:t xml:space="preserve">2 </w:t>
            </w:r>
            <w:r w:rsidRPr="00E40876">
              <w:rPr>
                <w:rFonts w:ascii="open_sanslight" w:eastAsia="Times New Roman" w:hAnsi="open_sanslight" w:cs="Times New Roman"/>
                <w:color w:val="4C4B4B"/>
                <w:sz w:val="24"/>
                <w:szCs w:val="24"/>
                <w:lang w:eastAsia="pl-PL"/>
              </w:rPr>
              <w:t>(parter), tel. 087</w:t>
            </w:r>
            <w:r w:rsidR="0051125B">
              <w:rPr>
                <w:rFonts w:ascii="open_sanslight" w:eastAsia="Times New Roman" w:hAnsi="open_sanslight" w:cs="Times New Roman"/>
                <w:color w:val="4C4B4B"/>
                <w:sz w:val="24"/>
                <w:szCs w:val="24"/>
                <w:lang w:eastAsia="pl-PL"/>
              </w:rPr>
              <w:t> 427 90 06 wew. 38</w:t>
            </w:r>
          </w:p>
        </w:tc>
      </w:tr>
      <w:tr w:rsidR="008079DF" w14:paraId="6A741C6E" w14:textId="77777777" w:rsidTr="006D5D41">
        <w:tc>
          <w:tcPr>
            <w:tcW w:w="2405" w:type="dxa"/>
            <w:shd w:val="clear" w:color="auto" w:fill="D9D9D9" w:themeFill="background1" w:themeFillShade="D9"/>
          </w:tcPr>
          <w:p w14:paraId="5256DD98" w14:textId="77777777" w:rsidR="008079DF" w:rsidRDefault="008079DF" w:rsidP="006D5D41">
            <w:r>
              <w:t>Opłaty</w:t>
            </w:r>
          </w:p>
        </w:tc>
        <w:tc>
          <w:tcPr>
            <w:tcW w:w="6657" w:type="dxa"/>
          </w:tcPr>
          <w:p w14:paraId="697FE4A9" w14:textId="7B3AEEF9" w:rsidR="008079DF" w:rsidRPr="008079DF" w:rsidRDefault="008079DF" w:rsidP="008079DF">
            <w:pPr>
              <w:shd w:val="clear" w:color="auto" w:fill="F4F2F2"/>
              <w:spacing w:before="100" w:beforeAutospacing="1" w:after="100" w:afterAutospacing="1" w:line="375" w:lineRule="atLeast"/>
              <w:jc w:val="both"/>
              <w:rPr>
                <w:rFonts w:ascii="open_sanslight" w:eastAsia="Times New Roman" w:hAnsi="open_sanslight" w:cs="Times New Roman"/>
                <w:color w:val="4C4B4B"/>
                <w:sz w:val="24"/>
                <w:szCs w:val="24"/>
                <w:lang w:eastAsia="pl-PL"/>
              </w:rPr>
            </w:pPr>
            <w:r w:rsidRPr="00E40876">
              <w:rPr>
                <w:rFonts w:ascii="open_sanslight" w:eastAsia="Times New Roman" w:hAnsi="open_sanslight" w:cs="Times New Roman"/>
                <w:color w:val="4C4B4B"/>
                <w:sz w:val="24"/>
                <w:szCs w:val="24"/>
                <w:lang w:eastAsia="pl-PL"/>
              </w:rPr>
              <w:t>- sporządzenie aktu małżeństwa - 84 zł</w:t>
            </w:r>
          </w:p>
        </w:tc>
      </w:tr>
      <w:tr w:rsidR="008079DF" w14:paraId="0D11DB61" w14:textId="77777777" w:rsidTr="006D5D41">
        <w:tc>
          <w:tcPr>
            <w:tcW w:w="2405" w:type="dxa"/>
            <w:shd w:val="clear" w:color="auto" w:fill="D9D9D9" w:themeFill="background1" w:themeFillShade="D9"/>
          </w:tcPr>
          <w:p w14:paraId="03739D87" w14:textId="77777777" w:rsidR="008079DF" w:rsidRDefault="008079DF" w:rsidP="006D5D41">
            <w:r>
              <w:t xml:space="preserve">Termin i sposób załatwienia </w:t>
            </w:r>
          </w:p>
        </w:tc>
        <w:tc>
          <w:tcPr>
            <w:tcW w:w="6657" w:type="dxa"/>
          </w:tcPr>
          <w:p w14:paraId="056EF74C" w14:textId="2A902662" w:rsidR="008079DF" w:rsidRPr="004041FF" w:rsidRDefault="008079DF" w:rsidP="004041FF">
            <w:pPr>
              <w:shd w:val="clear" w:color="auto" w:fill="F4F2F2"/>
              <w:spacing w:before="100" w:beforeAutospacing="1" w:after="100" w:afterAutospacing="1" w:line="375" w:lineRule="atLeast"/>
              <w:rPr>
                <w:rFonts w:ascii="open_sanslight" w:eastAsia="Times New Roman" w:hAnsi="open_sanslight" w:cs="Times New Roman"/>
                <w:color w:val="4C4B4B"/>
                <w:sz w:val="24"/>
                <w:szCs w:val="24"/>
                <w:lang w:eastAsia="pl-PL"/>
              </w:rPr>
            </w:pPr>
            <w:r w:rsidRPr="00E40876">
              <w:rPr>
                <w:rFonts w:ascii="open_sanslight" w:eastAsia="Times New Roman" w:hAnsi="open_sanslight" w:cs="Times New Roman"/>
                <w:color w:val="4C4B4B"/>
                <w:sz w:val="24"/>
                <w:szCs w:val="24"/>
                <w:lang w:eastAsia="pl-PL"/>
              </w:rPr>
              <w:t xml:space="preserve">- niezwłocznie, </w:t>
            </w:r>
            <w:r w:rsidRPr="00E40876">
              <w:rPr>
                <w:rFonts w:ascii="open_sanslight" w:eastAsia="Times New Roman" w:hAnsi="open_sanslight" w:cs="Times New Roman"/>
                <w:color w:val="4C4B4B"/>
                <w:sz w:val="24"/>
                <w:szCs w:val="24"/>
                <w:lang w:eastAsia="pl-PL"/>
              </w:rPr>
              <w:br/>
              <w:t>- zaświadczenie jest ważne 6 miesiące od daty wydania</w:t>
            </w:r>
          </w:p>
        </w:tc>
      </w:tr>
      <w:tr w:rsidR="008079DF" w14:paraId="4CC05F2C" w14:textId="77777777" w:rsidTr="006D5D41">
        <w:tc>
          <w:tcPr>
            <w:tcW w:w="2405" w:type="dxa"/>
            <w:shd w:val="clear" w:color="auto" w:fill="D9D9D9" w:themeFill="background1" w:themeFillShade="D9"/>
          </w:tcPr>
          <w:p w14:paraId="0119D7A2" w14:textId="77777777" w:rsidR="008079DF" w:rsidRDefault="008079DF" w:rsidP="006D5D41">
            <w:r>
              <w:t>Podstawa prawna</w:t>
            </w:r>
          </w:p>
        </w:tc>
        <w:tc>
          <w:tcPr>
            <w:tcW w:w="6657" w:type="dxa"/>
          </w:tcPr>
          <w:p w14:paraId="57720897" w14:textId="247D7303" w:rsidR="008079DF" w:rsidRPr="004041FF" w:rsidRDefault="008079DF" w:rsidP="004041FF">
            <w:pPr>
              <w:shd w:val="clear" w:color="auto" w:fill="F4F2F2"/>
              <w:spacing w:before="100" w:beforeAutospacing="1" w:after="100" w:afterAutospacing="1" w:line="375" w:lineRule="atLeast"/>
              <w:rPr>
                <w:rFonts w:ascii="open_sanslight" w:eastAsia="Times New Roman" w:hAnsi="open_sanslight" w:cs="Times New Roman"/>
                <w:color w:val="4C4B4B"/>
                <w:sz w:val="24"/>
                <w:szCs w:val="24"/>
                <w:lang w:eastAsia="pl-PL"/>
              </w:rPr>
            </w:pPr>
            <w:r w:rsidRPr="00E40876">
              <w:rPr>
                <w:rFonts w:ascii="open_sanslight" w:eastAsia="Times New Roman" w:hAnsi="open_sanslight" w:cs="Times New Roman"/>
                <w:color w:val="4C4B4B"/>
                <w:sz w:val="24"/>
                <w:szCs w:val="24"/>
                <w:lang w:eastAsia="pl-PL"/>
              </w:rPr>
              <w:t xml:space="preserve">- art.1-15 ustawy z dnia 25 lutego 1964 r Kodeks rodzinny i opiekuńczy </w:t>
            </w:r>
            <w:r w:rsidR="00ED58B9">
              <w:rPr>
                <w:rFonts w:ascii="open_sanslight" w:eastAsia="Times New Roman" w:hAnsi="open_sanslight" w:cs="Times New Roman"/>
                <w:color w:val="4C4B4B"/>
                <w:sz w:val="24"/>
                <w:szCs w:val="24"/>
                <w:lang w:eastAsia="pl-PL"/>
              </w:rPr>
              <w:t xml:space="preserve"> </w:t>
            </w:r>
            <w:r w:rsidRPr="00E40876">
              <w:rPr>
                <w:rFonts w:ascii="open_sanslight" w:eastAsia="Times New Roman" w:hAnsi="open_sanslight" w:cs="Times New Roman"/>
                <w:color w:val="4C4B4B"/>
                <w:sz w:val="24"/>
                <w:szCs w:val="24"/>
                <w:lang w:eastAsia="pl-PL"/>
              </w:rPr>
              <w:t>(</w:t>
            </w:r>
            <w:proofErr w:type="spellStart"/>
            <w:r w:rsidRPr="00E40876">
              <w:rPr>
                <w:rFonts w:ascii="open_sanslight" w:eastAsia="Times New Roman" w:hAnsi="open_sanslight" w:cs="Times New Roman"/>
                <w:color w:val="4C4B4B"/>
                <w:sz w:val="24"/>
                <w:szCs w:val="24"/>
                <w:lang w:eastAsia="pl-PL"/>
              </w:rPr>
              <w:t>tj.Dz.U</w:t>
            </w:r>
            <w:proofErr w:type="spellEnd"/>
            <w:r w:rsidRPr="00E40876">
              <w:rPr>
                <w:rFonts w:ascii="open_sanslight" w:eastAsia="Times New Roman" w:hAnsi="open_sanslight" w:cs="Times New Roman"/>
                <w:color w:val="4C4B4B"/>
                <w:sz w:val="24"/>
                <w:szCs w:val="24"/>
                <w:lang w:eastAsia="pl-PL"/>
              </w:rPr>
              <w:t xml:space="preserve">. z 2017r., poz.682 ze zm.), </w:t>
            </w:r>
            <w:r w:rsidRPr="00E40876">
              <w:rPr>
                <w:rFonts w:ascii="open_sanslight" w:eastAsia="Times New Roman" w:hAnsi="open_sanslight" w:cs="Times New Roman"/>
                <w:color w:val="4C4B4B"/>
                <w:sz w:val="24"/>
                <w:szCs w:val="24"/>
                <w:lang w:eastAsia="pl-PL"/>
              </w:rPr>
              <w:br/>
              <w:t>ustawa z dnia 28 listopada 2014 roku Prawo o aktach stanu cywilnego (</w:t>
            </w:r>
            <w:proofErr w:type="spellStart"/>
            <w:r w:rsidRPr="00E40876">
              <w:rPr>
                <w:rFonts w:ascii="open_sanslight" w:eastAsia="Times New Roman" w:hAnsi="open_sanslight" w:cs="Times New Roman"/>
                <w:color w:val="4C4B4B"/>
                <w:sz w:val="24"/>
                <w:szCs w:val="24"/>
                <w:lang w:eastAsia="pl-PL"/>
              </w:rPr>
              <w:t>Dz.U.z</w:t>
            </w:r>
            <w:proofErr w:type="spellEnd"/>
            <w:r w:rsidRPr="00E40876">
              <w:rPr>
                <w:rFonts w:ascii="open_sanslight" w:eastAsia="Times New Roman" w:hAnsi="open_sanslight" w:cs="Times New Roman"/>
                <w:color w:val="4C4B4B"/>
                <w:sz w:val="24"/>
                <w:szCs w:val="24"/>
                <w:lang w:eastAsia="pl-PL"/>
              </w:rPr>
              <w:t xml:space="preserve"> 2016r., poz.2064 ze zm.)</w:t>
            </w:r>
            <w:r w:rsidRPr="00E40876">
              <w:rPr>
                <w:rFonts w:ascii="open_sanslight" w:eastAsia="Times New Roman" w:hAnsi="open_sanslight" w:cs="Times New Roman"/>
                <w:color w:val="4C4B4B"/>
                <w:sz w:val="24"/>
                <w:szCs w:val="24"/>
                <w:lang w:eastAsia="pl-PL"/>
              </w:rPr>
              <w:br/>
              <w:t>- art. 10 konkordatu z dnia 28 lipca 1993 r (Dz. U. 1998 Nr 51 poz. 318)</w:t>
            </w:r>
          </w:p>
        </w:tc>
      </w:tr>
      <w:tr w:rsidR="008079DF" w14:paraId="20D2C8D2" w14:textId="77777777" w:rsidTr="006D5D41">
        <w:tc>
          <w:tcPr>
            <w:tcW w:w="2405" w:type="dxa"/>
            <w:shd w:val="clear" w:color="auto" w:fill="D9D9D9" w:themeFill="background1" w:themeFillShade="D9"/>
          </w:tcPr>
          <w:p w14:paraId="0B1009E2" w14:textId="77777777" w:rsidR="008079DF" w:rsidRDefault="008079DF" w:rsidP="006D5D41">
            <w:r>
              <w:t>Tryb odwoławczy</w:t>
            </w:r>
          </w:p>
        </w:tc>
        <w:tc>
          <w:tcPr>
            <w:tcW w:w="6657" w:type="dxa"/>
          </w:tcPr>
          <w:p w14:paraId="0157CFFD" w14:textId="70C17BBF" w:rsidR="008079DF" w:rsidRPr="008079DF" w:rsidRDefault="008079DF" w:rsidP="00055C2B">
            <w:pPr>
              <w:shd w:val="clear" w:color="auto" w:fill="F4F2F2"/>
              <w:spacing w:before="100" w:beforeAutospacing="1" w:after="100" w:afterAutospacing="1" w:line="375" w:lineRule="atLeast"/>
              <w:jc w:val="both"/>
              <w:rPr>
                <w:rFonts w:ascii="open_sanslight" w:eastAsia="Times New Roman" w:hAnsi="open_sanslight" w:cs="Times New Roman"/>
                <w:color w:val="4C4B4B"/>
                <w:sz w:val="24"/>
                <w:szCs w:val="24"/>
                <w:lang w:eastAsia="pl-PL"/>
              </w:rPr>
            </w:pPr>
          </w:p>
        </w:tc>
      </w:tr>
      <w:tr w:rsidR="008079DF" w14:paraId="474F3D2A" w14:textId="77777777" w:rsidTr="006D5D41">
        <w:tc>
          <w:tcPr>
            <w:tcW w:w="2405" w:type="dxa"/>
            <w:shd w:val="clear" w:color="auto" w:fill="D9D9D9" w:themeFill="background1" w:themeFillShade="D9"/>
          </w:tcPr>
          <w:p w14:paraId="516EE4B3" w14:textId="77777777" w:rsidR="008079DF" w:rsidRDefault="008079DF" w:rsidP="006D5D41">
            <w:r>
              <w:t xml:space="preserve">Inne informacje </w:t>
            </w:r>
          </w:p>
        </w:tc>
        <w:tc>
          <w:tcPr>
            <w:tcW w:w="6657" w:type="dxa"/>
          </w:tcPr>
          <w:p w14:paraId="2C955149" w14:textId="77777777" w:rsidR="00055C2B" w:rsidRPr="00E40876" w:rsidRDefault="00055C2B" w:rsidP="00055C2B">
            <w:pPr>
              <w:shd w:val="clear" w:color="auto" w:fill="F4F2F2"/>
              <w:spacing w:before="100" w:beforeAutospacing="1" w:after="100" w:afterAutospacing="1" w:line="375" w:lineRule="atLeast"/>
              <w:jc w:val="both"/>
              <w:rPr>
                <w:rFonts w:ascii="open_sanslight" w:eastAsia="Times New Roman" w:hAnsi="open_sanslight" w:cs="Times New Roman"/>
                <w:color w:val="4C4B4B"/>
                <w:sz w:val="24"/>
                <w:szCs w:val="24"/>
                <w:lang w:eastAsia="pl-PL"/>
              </w:rPr>
            </w:pPr>
            <w:r w:rsidRPr="00E40876">
              <w:rPr>
                <w:rFonts w:ascii="open_sanslight" w:eastAsia="Times New Roman" w:hAnsi="open_sanslight" w:cs="Times New Roman"/>
                <w:color w:val="4C4B4B"/>
                <w:sz w:val="24"/>
                <w:szCs w:val="24"/>
                <w:lang w:eastAsia="pl-PL"/>
              </w:rPr>
              <w:t>1. Zaświadczenie do zawarcia małżeństwa w formie wyznaniowej wydaje wybrany przez nupturientów kierownik urzędu stanu cywilnego</w:t>
            </w:r>
          </w:p>
          <w:p w14:paraId="775C1C62" w14:textId="77777777" w:rsidR="00055C2B" w:rsidRPr="00E40876" w:rsidRDefault="00055C2B" w:rsidP="00055C2B">
            <w:pPr>
              <w:shd w:val="clear" w:color="auto" w:fill="F4F2F2"/>
              <w:spacing w:before="100" w:beforeAutospacing="1" w:after="100" w:afterAutospacing="1" w:line="375" w:lineRule="atLeast"/>
              <w:jc w:val="both"/>
              <w:rPr>
                <w:rFonts w:ascii="open_sanslight" w:eastAsia="Times New Roman" w:hAnsi="open_sanslight" w:cs="Times New Roman"/>
                <w:color w:val="4C4B4B"/>
                <w:sz w:val="24"/>
                <w:szCs w:val="24"/>
                <w:lang w:eastAsia="pl-PL"/>
              </w:rPr>
            </w:pPr>
            <w:r w:rsidRPr="00E40876">
              <w:rPr>
                <w:rFonts w:ascii="open_sanslight" w:eastAsia="Times New Roman" w:hAnsi="open_sanslight" w:cs="Times New Roman"/>
                <w:color w:val="4C4B4B"/>
                <w:sz w:val="24"/>
                <w:szCs w:val="24"/>
                <w:lang w:eastAsia="pl-PL"/>
              </w:rPr>
              <w:t>2. opłatę skarbową w wysokości 84 zł za sporządzenie aktu małżeństwa należy wnieść na konto tego urzędu, który będzie sporządzał akt małżeństwa</w:t>
            </w:r>
          </w:p>
          <w:p w14:paraId="26488627" w14:textId="49B54F43" w:rsidR="008079DF" w:rsidRPr="00055C2B" w:rsidRDefault="00055C2B" w:rsidP="00055C2B">
            <w:pPr>
              <w:shd w:val="clear" w:color="auto" w:fill="F4F2F2"/>
              <w:spacing w:before="100" w:beforeAutospacing="1" w:after="100" w:afterAutospacing="1" w:line="375" w:lineRule="atLeast"/>
              <w:jc w:val="both"/>
              <w:rPr>
                <w:rFonts w:ascii="open_sanslight" w:eastAsia="Times New Roman" w:hAnsi="open_sanslight" w:cs="Times New Roman"/>
                <w:color w:val="4C4B4B"/>
                <w:sz w:val="24"/>
                <w:szCs w:val="24"/>
                <w:lang w:eastAsia="pl-PL"/>
              </w:rPr>
            </w:pPr>
            <w:r w:rsidRPr="00E40876">
              <w:rPr>
                <w:rFonts w:ascii="open_sanslight" w:eastAsia="Times New Roman" w:hAnsi="open_sanslight" w:cs="Times New Roman"/>
                <w:color w:val="4C4B4B"/>
                <w:sz w:val="24"/>
                <w:szCs w:val="24"/>
                <w:lang w:eastAsia="pl-PL"/>
              </w:rPr>
              <w:t>3. W ciągu 5 dni od dnia zawarcia małżeństwa, duchowny powinien przekazać dokumenty stanowiące podstawę sporządzenia aktu małżeństwa kierownikowi USC miejsca zawarcia małżeństwa. Jeżeli termin ten nie zostanie dotrzymany kierownik USC odmawia sporządzenia aktu małżeństwa.</w:t>
            </w:r>
          </w:p>
        </w:tc>
      </w:tr>
    </w:tbl>
    <w:p w14:paraId="1E77B60E" w14:textId="77777777" w:rsidR="008F3CFD" w:rsidRDefault="008F3CFD"/>
    <w:sectPr w:rsidR="008F3CFD" w:rsidSect="00ED58B9">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_sansregular">
    <w:altName w:val="Calibri"/>
    <w:charset w:val="00"/>
    <w:family w:val="auto"/>
    <w:pitch w:val="default"/>
    <w:sig w:usb0="00000003" w:usb1="00000000" w:usb2="00000000" w:usb3="00000000" w:csb0="00000001" w:csb1="00000000"/>
  </w:font>
  <w:font w:name="open_sanslight">
    <w:altName w:val="Calibri"/>
    <w:charset w:val="00"/>
    <w:family w:val="auto"/>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FD"/>
    <w:rsid w:val="00055C2B"/>
    <w:rsid w:val="004041FF"/>
    <w:rsid w:val="0051125B"/>
    <w:rsid w:val="006F6070"/>
    <w:rsid w:val="008079DF"/>
    <w:rsid w:val="008F3CFD"/>
    <w:rsid w:val="00CC6364"/>
    <w:rsid w:val="00DA33ED"/>
    <w:rsid w:val="00ED5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460F"/>
  <w15:chartTrackingRefBased/>
  <w15:docId w15:val="{D3CE362F-A5F0-4A1B-8893-55DB0F5F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079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0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8079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1658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MMM. Mieczkowska</dc:creator>
  <cp:keywords/>
  <dc:description/>
  <cp:lastModifiedBy>Mieczkowska Magdalena</cp:lastModifiedBy>
  <cp:revision>9</cp:revision>
  <dcterms:created xsi:type="dcterms:W3CDTF">2019-01-29T08:04:00Z</dcterms:created>
  <dcterms:modified xsi:type="dcterms:W3CDTF">2019-10-18T09:05:00Z</dcterms:modified>
</cp:coreProperties>
</file>