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B723" w14:textId="16035FCB" w:rsidR="00D97C16" w:rsidRPr="00484035" w:rsidRDefault="00D97C16" w:rsidP="00D97C1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484035">
        <w:rPr>
          <w:rFonts w:cstheme="minorHAnsi"/>
          <w:b/>
          <w:bCs/>
          <w:sz w:val="28"/>
          <w:szCs w:val="28"/>
        </w:rPr>
        <w:t>Zarządzenie Nr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C41DB">
        <w:rPr>
          <w:rFonts w:cstheme="minorHAnsi"/>
          <w:b/>
          <w:bCs/>
          <w:sz w:val="28"/>
          <w:szCs w:val="28"/>
        </w:rPr>
        <w:t>7</w:t>
      </w:r>
      <w:r>
        <w:rPr>
          <w:rFonts w:cstheme="minorHAnsi"/>
          <w:b/>
          <w:bCs/>
          <w:sz w:val="28"/>
          <w:szCs w:val="28"/>
        </w:rPr>
        <w:t>1</w:t>
      </w:r>
      <w:r w:rsidRPr="00FC41DB">
        <w:rPr>
          <w:rFonts w:cstheme="minorHAnsi"/>
          <w:b/>
          <w:bCs/>
          <w:sz w:val="28"/>
          <w:szCs w:val="28"/>
        </w:rPr>
        <w:t>/2024</w:t>
      </w:r>
      <w:r w:rsidRPr="00484035">
        <w:rPr>
          <w:rFonts w:cstheme="minorHAnsi"/>
          <w:b/>
          <w:bCs/>
          <w:sz w:val="28"/>
          <w:szCs w:val="28"/>
        </w:rPr>
        <w:t xml:space="preserve"> </w:t>
      </w:r>
    </w:p>
    <w:p w14:paraId="57B4AE01" w14:textId="77777777" w:rsidR="00D97C16" w:rsidRPr="00484035" w:rsidRDefault="00D97C16" w:rsidP="00D97C1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484035">
        <w:rPr>
          <w:rFonts w:cstheme="minorHAnsi"/>
          <w:b/>
          <w:bCs/>
          <w:sz w:val="28"/>
          <w:szCs w:val="28"/>
        </w:rPr>
        <w:t>Wójta Gminy Gołuchów</w:t>
      </w:r>
    </w:p>
    <w:p w14:paraId="4984329B" w14:textId="77777777" w:rsidR="00D97C16" w:rsidRPr="00484035" w:rsidRDefault="00D97C16" w:rsidP="00D97C1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280C03">
        <w:rPr>
          <w:rFonts w:cstheme="minorHAnsi"/>
          <w:b/>
          <w:bCs/>
          <w:sz w:val="28"/>
          <w:szCs w:val="28"/>
        </w:rPr>
        <w:t xml:space="preserve">z dnia </w:t>
      </w:r>
      <w:r>
        <w:rPr>
          <w:rFonts w:cstheme="minorHAnsi"/>
          <w:b/>
          <w:bCs/>
          <w:sz w:val="28"/>
          <w:szCs w:val="28"/>
        </w:rPr>
        <w:t>23 grudnia</w:t>
      </w:r>
      <w:r w:rsidRPr="00280C03">
        <w:rPr>
          <w:rFonts w:cstheme="minorHAnsi"/>
          <w:b/>
          <w:bCs/>
          <w:sz w:val="28"/>
          <w:szCs w:val="28"/>
        </w:rPr>
        <w:t xml:space="preserve"> 2024 r.</w:t>
      </w:r>
    </w:p>
    <w:p w14:paraId="35193B28" w14:textId="77777777" w:rsidR="00196863" w:rsidRPr="00196863" w:rsidRDefault="00196863" w:rsidP="00196863"/>
    <w:p w14:paraId="23FF4772" w14:textId="44CF2DEF" w:rsidR="00196863" w:rsidRPr="00D97C16" w:rsidRDefault="00196863" w:rsidP="00196863">
      <w:pPr>
        <w:rPr>
          <w:b/>
          <w:bCs/>
          <w:sz w:val="24"/>
          <w:szCs w:val="24"/>
        </w:rPr>
      </w:pPr>
      <w:r w:rsidRPr="00D97C16">
        <w:rPr>
          <w:b/>
          <w:bCs/>
          <w:sz w:val="24"/>
          <w:szCs w:val="24"/>
        </w:rPr>
        <w:t xml:space="preserve">w sprawie wyznaczenia osoby upoważnionej do przyjmowania zgłoszeń </w:t>
      </w:r>
      <w:r w:rsidR="00363700" w:rsidRPr="00D97C16">
        <w:rPr>
          <w:b/>
          <w:bCs/>
          <w:sz w:val="24"/>
          <w:szCs w:val="24"/>
        </w:rPr>
        <w:t>z</w:t>
      </w:r>
      <w:r w:rsidRPr="00D97C16">
        <w:rPr>
          <w:b/>
          <w:bCs/>
          <w:sz w:val="24"/>
          <w:szCs w:val="24"/>
        </w:rPr>
        <w:t xml:space="preserve">ewnętrznych </w:t>
      </w:r>
    </w:p>
    <w:p w14:paraId="1364B90F" w14:textId="77777777" w:rsidR="00196863" w:rsidRPr="00196863" w:rsidRDefault="00196863" w:rsidP="00196863"/>
    <w:p w14:paraId="1A1C235B" w14:textId="46255233" w:rsidR="00196863" w:rsidRPr="00196863" w:rsidRDefault="00196863" w:rsidP="00196863">
      <w:pPr>
        <w:jc w:val="both"/>
        <w:rPr>
          <w:rFonts w:cstheme="minorHAnsi"/>
        </w:rPr>
      </w:pPr>
      <w:r w:rsidRPr="00196863">
        <w:t xml:space="preserve">Działając na podstawie art. </w:t>
      </w:r>
      <w:r w:rsidR="00702A3D">
        <w:t>44</w:t>
      </w:r>
      <w:r w:rsidRPr="00196863">
        <w:t xml:space="preserve"> ust. </w:t>
      </w:r>
      <w:r w:rsidR="00702A3D">
        <w:t>2</w:t>
      </w:r>
      <w:r w:rsidRPr="00196863">
        <w:t xml:space="preserve"> ustawy z dnia 14 czerwca 2024 r. o ochronie sygnalistów (Dz. U. 2024r. poz. 928) oraz Zarządzenia Nr </w:t>
      </w:r>
      <w:r w:rsidR="00363700">
        <w:t>70</w:t>
      </w:r>
      <w:r w:rsidRPr="00196863">
        <w:t>/2024 Wójta Gminy Gołuchów z dnia 23 grudnia  2024 r. w sprawie</w:t>
      </w:r>
      <w:r w:rsidRPr="00196863">
        <w:rPr>
          <w:rFonts w:cstheme="minorHAnsi"/>
        </w:rPr>
        <w:t xml:space="preserve"> wprowadzenia </w:t>
      </w:r>
      <w:bookmarkStart w:id="0" w:name="_Hlk86242054"/>
      <w:r w:rsidRPr="00196863">
        <w:rPr>
          <w:rFonts w:cstheme="minorHAnsi"/>
        </w:rPr>
        <w:t>„Procedury przyjmowania zgłoszeń zewnętrznych oraz podejmowania działań następczych</w:t>
      </w:r>
      <w:bookmarkEnd w:id="0"/>
      <w:r w:rsidRPr="00196863">
        <w:rPr>
          <w:rFonts w:cstheme="minorHAnsi"/>
        </w:rPr>
        <w:t>”</w:t>
      </w:r>
      <w:r w:rsidRPr="00196863">
        <w:t>, zarządzam co następuje:</w:t>
      </w:r>
    </w:p>
    <w:p w14:paraId="448528A9" w14:textId="77777777" w:rsidR="00196863" w:rsidRPr="00196863" w:rsidRDefault="00196863" w:rsidP="00196863"/>
    <w:p w14:paraId="13130EDD" w14:textId="69C05854" w:rsidR="00196863" w:rsidRPr="00196863" w:rsidRDefault="00196863" w:rsidP="00196863">
      <w:pPr>
        <w:rPr>
          <w:b/>
          <w:bCs/>
        </w:rPr>
      </w:pPr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Pr="00196863">
        <w:rPr>
          <w:b/>
          <w:bCs/>
        </w:rPr>
        <w:t xml:space="preserve">1. </w:t>
      </w:r>
      <w:r w:rsidRPr="00196863">
        <w:t>Wyznaczam Panią Annę Kulisz – pracownika Urzędu Gminy w Gołuchowie, do pełnienia funkcji Pełnomocnika Wójta Gminy ds. Zgł</w:t>
      </w:r>
      <w:r>
        <w:t>oszeń zewnętrznych</w:t>
      </w:r>
      <w:r w:rsidRPr="00196863">
        <w:t>.</w:t>
      </w:r>
    </w:p>
    <w:p w14:paraId="5D2DF0AD" w14:textId="23918F56" w:rsidR="00196863" w:rsidRPr="00196863" w:rsidRDefault="00196863" w:rsidP="00196863">
      <w:pPr>
        <w:rPr>
          <w:b/>
          <w:bCs/>
        </w:rPr>
      </w:pPr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Pr="00196863">
        <w:rPr>
          <w:b/>
          <w:bCs/>
        </w:rPr>
        <w:t xml:space="preserve">2. </w:t>
      </w:r>
      <w:r w:rsidRPr="00196863">
        <w:t xml:space="preserve">Do zadań Pełnomocnika, o którym mowa w §1, należy realizacja zadań wynikających z ustawy </w:t>
      </w:r>
      <w:r w:rsidRPr="00196863">
        <w:br/>
        <w:t>z dnia 14 czerwca 2024 r. o ochronie sygnalistów, to jest zapewnienie sprawnego funkcjonowania systemu zgłaszania naruszeń prawa i ochrony sygnalisty, w szczególności poprzez:</w:t>
      </w:r>
    </w:p>
    <w:p w14:paraId="5822DCF8" w14:textId="5073CF16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przyjmowani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color w:val="C9211E"/>
          <w:sz w:val="22"/>
          <w:szCs w:val="22"/>
        </w:rPr>
        <w:t xml:space="preserve"> 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zgłoszeń zewnętrznych – wzór Formularza zgłoszenia nieprawidłowości stanowi załącznik nr 1 do procedury,</w:t>
      </w:r>
    </w:p>
    <w:p w14:paraId="4C83F0AE" w14:textId="72DE02D0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dokonywani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wstępnej weryfikacji zgłoszeń zewnętrznych;</w:t>
      </w:r>
    </w:p>
    <w:p w14:paraId="7CB53433" w14:textId="1D788C81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podejmowani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działań następczych oraz związanego z tym przetwarzania danych osobowych;</w:t>
      </w:r>
    </w:p>
    <w:p w14:paraId="4EA0856F" w14:textId="4E3C4BC9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spełnieni</w:t>
      </w: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obowiązku informacyjnego wobec</w:t>
      </w:r>
      <w:r w:rsidRPr="00F05E4E">
        <w:rPr>
          <w:rStyle w:val="Domylnaczcionkaakapitu1"/>
          <w:rFonts w:asciiTheme="minorHAnsi" w:hAnsiTheme="minorHAnsi" w:cstheme="minorHAnsi"/>
          <w:color w:val="C9211E"/>
          <w:sz w:val="22"/>
          <w:szCs w:val="22"/>
        </w:rPr>
        <w:t xml:space="preserve"> </w:t>
      </w:r>
      <w:r w:rsidRPr="00F05E4E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sygnalisty oraz 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kontaktu z sygnalistą, w razie potrzeby pozyskania dodatkowego wyjaśnienia lub dodatkowych informacji w zakresie przekazanego zgłoszenia, jakie mogą być w posiadaniu sygnalisty;</w:t>
      </w:r>
    </w:p>
    <w:p w14:paraId="7F2BC55E" w14:textId="40D11EC6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informowani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sygnalisty o przekazaniu zgłoszenia zewnętrznego wg właściwości do organu publicznego właściwego do podjęcia działań następczych;</w:t>
      </w:r>
    </w:p>
    <w:p w14:paraId="4D3FA361" w14:textId="73972BE4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wydawani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na żądanie sygnalisty zaświadczenia, w którym potwierdza, że sygnalista podlega ochronie;</w:t>
      </w:r>
    </w:p>
    <w:p w14:paraId="1D6BA060" w14:textId="69874EBE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prowadzeni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Rejestru zgłoszeń zewnętrznych – wzór Rejestru stanowi załącznik nr 2 do procedury,</w:t>
      </w:r>
    </w:p>
    <w:p w14:paraId="44F43813" w14:textId="0FE3B8CB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sporządzani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dla Rzecznika Praw Obywatelskich za rok kalendarzowy sprawozdania zawierającego dane statystyczne dotyczące zgłoszeń zewnętrznych;</w:t>
      </w:r>
    </w:p>
    <w:p w14:paraId="68180964" w14:textId="418FB0C9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>prowadzeni</w:t>
      </w:r>
      <w:r>
        <w:rPr>
          <w:rStyle w:val="Domylnaczcionkaakapitu1"/>
          <w:rFonts w:asciiTheme="minorHAnsi" w:hAnsiTheme="minorHAnsi" w:cstheme="minorHAnsi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na stronie BIP Gminy Gołuchów </w:t>
      </w:r>
      <w:r w:rsidRPr="00363700">
        <w:rPr>
          <w:rStyle w:val="Domylnaczcionkaakapitu1"/>
          <w:rFonts w:asciiTheme="minorHAnsi" w:hAnsiTheme="minorHAnsi" w:cstheme="minorHAnsi"/>
          <w:sz w:val="22"/>
          <w:szCs w:val="22"/>
        </w:rPr>
        <w:t>zakładki „</w:t>
      </w:r>
      <w:r w:rsidRPr="00363700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>Zgłoszenia</w:t>
      </w:r>
      <w:r w:rsidRPr="00363700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z</w:t>
      </w:r>
      <w:r w:rsidRPr="00363700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ewnętrzne”, </w:t>
      </w:r>
      <w:r w:rsidRPr="00363700">
        <w:rPr>
          <w:rStyle w:val="Domylnaczcionkaakapitu1"/>
          <w:rFonts w:asciiTheme="minorHAnsi" w:hAnsiTheme="minorHAnsi" w:cstheme="minorHAnsi"/>
          <w:iCs/>
          <w:sz w:val="22"/>
          <w:szCs w:val="22"/>
        </w:rPr>
        <w:t>zawierającej</w:t>
      </w:r>
      <w:r w:rsidRPr="00363700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63700">
        <w:rPr>
          <w:rStyle w:val="Domylnaczcionkaakapitu1"/>
          <w:rFonts w:asciiTheme="minorHAnsi" w:hAnsiTheme="minorHAnsi" w:cstheme="minorHAnsi"/>
          <w:sz w:val="22"/>
          <w:szCs w:val="22"/>
        </w:rPr>
        <w:t>aktualne informacje w zakresie: zgłaszania nieprawidłowości, warunków objęcia</w:t>
      </w:r>
      <w:r w:rsidRPr="00F05E4E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ochroną sygnalisty, trybie postępowania ze zgłoszeniami zewnętrznymi;</w:t>
      </w:r>
    </w:p>
    <w:p w14:paraId="7D2D2F05" w14:textId="3689920E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przekazywani</w:t>
      </w: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e</w:t>
      </w:r>
      <w:r w:rsidRPr="00F05E4E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zainteresowanym osobom informacji na temat procedury;</w:t>
      </w:r>
    </w:p>
    <w:p w14:paraId="4971D005" w14:textId="78100500" w:rsidR="00196863" w:rsidRPr="00F05E4E" w:rsidRDefault="00196863" w:rsidP="00196863">
      <w:pPr>
        <w:pStyle w:val="Standard"/>
        <w:numPr>
          <w:ilvl w:val="0"/>
          <w:numId w:val="3"/>
        </w:numPr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05E4E">
        <w:rPr>
          <w:rFonts w:asciiTheme="minorHAnsi" w:hAnsiTheme="minorHAnsi" w:cstheme="minorHAnsi"/>
          <w:color w:val="000000"/>
          <w:sz w:val="22"/>
          <w:szCs w:val="22"/>
        </w:rPr>
        <w:t>zapewnieni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05E4E">
        <w:rPr>
          <w:rFonts w:asciiTheme="minorHAnsi" w:hAnsiTheme="minorHAnsi" w:cstheme="minorHAnsi"/>
          <w:color w:val="000000"/>
          <w:sz w:val="22"/>
          <w:szCs w:val="22"/>
        </w:rPr>
        <w:t xml:space="preserve"> bezstronności podczas prowadzonych postępowań.</w:t>
      </w:r>
    </w:p>
    <w:p w14:paraId="4CF15377" w14:textId="77777777" w:rsidR="00196863" w:rsidRPr="00196863" w:rsidRDefault="00196863" w:rsidP="00196863"/>
    <w:p w14:paraId="611BD28C" w14:textId="2234915D" w:rsidR="00196863" w:rsidRPr="00196863" w:rsidRDefault="00196863" w:rsidP="00196863"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Pr="00196863">
        <w:rPr>
          <w:b/>
          <w:bCs/>
        </w:rPr>
        <w:t xml:space="preserve">3. </w:t>
      </w:r>
      <w:r w:rsidRPr="00196863">
        <w:t>Wyznaczam Informatyka w Urzędzie Gminy w Gołuchowie do:</w:t>
      </w:r>
    </w:p>
    <w:p w14:paraId="0369284B" w14:textId="3E47DC59" w:rsidR="00196863" w:rsidRPr="00196863" w:rsidRDefault="00196863" w:rsidP="00196863">
      <w:pPr>
        <w:numPr>
          <w:ilvl w:val="0"/>
          <w:numId w:val="2"/>
        </w:numPr>
      </w:pPr>
      <w:r w:rsidRPr="00196863">
        <w:t xml:space="preserve">utworzenia adresu poczty elektronicznej </w:t>
      </w:r>
      <w:hyperlink r:id="rId5" w:history="1">
        <w:r w:rsidRPr="00196863">
          <w:rPr>
            <w:rStyle w:val="Hipercze"/>
            <w:color w:val="auto"/>
          </w:rPr>
          <w:t>zgloszenia</w:t>
        </w:r>
      </w:hyperlink>
      <w:r w:rsidRPr="00363700">
        <w:rPr>
          <w:u w:val="single"/>
        </w:rPr>
        <w:t>zewnętrzne</w:t>
      </w:r>
      <w:hyperlink r:id="rId6" w:history="1">
        <w:r w:rsidRPr="00196863">
          <w:rPr>
            <w:rStyle w:val="Hipercze"/>
            <w:color w:val="auto"/>
          </w:rPr>
          <w:t>@</w:t>
        </w:r>
      </w:hyperlink>
      <w:r w:rsidRPr="00196863">
        <w:rPr>
          <w:u w:val="single"/>
        </w:rPr>
        <w:t>goluchow.pl,</w:t>
      </w:r>
      <w:r w:rsidRPr="00196863">
        <w:t xml:space="preserve"> dedykowanej dla sygnalistów jako jeden z kanałów zgłoszeń </w:t>
      </w:r>
      <w:r>
        <w:t>z</w:t>
      </w:r>
      <w:r w:rsidRPr="00196863">
        <w:t xml:space="preserve">ewnętrznych w Urzędzie Gminy w Gołuchowie, </w:t>
      </w:r>
    </w:p>
    <w:p w14:paraId="743B7A25" w14:textId="77777777" w:rsidR="00196863" w:rsidRPr="00196863" w:rsidRDefault="00196863" w:rsidP="00196863">
      <w:pPr>
        <w:numPr>
          <w:ilvl w:val="0"/>
          <w:numId w:val="2"/>
        </w:numPr>
      </w:pPr>
      <w:r w:rsidRPr="00196863">
        <w:t>zarządzania i obsługi skrzynki doręczeń.</w:t>
      </w:r>
    </w:p>
    <w:p w14:paraId="28C9C06C" w14:textId="77777777" w:rsidR="00196863" w:rsidRPr="00196863" w:rsidRDefault="00196863" w:rsidP="00196863">
      <w:pPr>
        <w:rPr>
          <w:b/>
          <w:bCs/>
        </w:rPr>
      </w:pPr>
    </w:p>
    <w:p w14:paraId="5EE7C720" w14:textId="55B95C53" w:rsidR="00196863" w:rsidRPr="00196863" w:rsidRDefault="00196863" w:rsidP="00196863"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Pr="00196863">
        <w:rPr>
          <w:b/>
          <w:bCs/>
        </w:rPr>
        <w:t xml:space="preserve">4. </w:t>
      </w:r>
      <w:r w:rsidRPr="00196863">
        <w:t>Upoważniam Pełnomocnika Wójta Gminy ds. Zgłaszania Naruszeń do przetwarzania danych osobowych w ramach pełnionej funkcji.</w:t>
      </w:r>
    </w:p>
    <w:p w14:paraId="2A4AB2A3" w14:textId="4317B731" w:rsidR="00196863" w:rsidRPr="00196863" w:rsidRDefault="00196863" w:rsidP="00196863">
      <w:pPr>
        <w:rPr>
          <w:b/>
          <w:bCs/>
        </w:rPr>
      </w:pPr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Pr="00196863">
        <w:rPr>
          <w:b/>
          <w:bCs/>
        </w:rPr>
        <w:t>5.</w:t>
      </w:r>
      <w:r w:rsidRPr="00196863">
        <w:t xml:space="preserve"> Upoważniam Informatyka w Urzędzie Gminy w Gołuchowie do przetwarzania danych osobowych w ramach realizowanych czynności.</w:t>
      </w:r>
    </w:p>
    <w:p w14:paraId="0EB3DBC7" w14:textId="7FDBA0DF" w:rsidR="00196863" w:rsidRPr="00196863" w:rsidRDefault="00196863" w:rsidP="00196863">
      <w:r w:rsidRPr="00702A3D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Pr="00702A3D">
        <w:rPr>
          <w:b/>
          <w:bCs/>
        </w:rPr>
        <w:t>6</w:t>
      </w:r>
      <w:r w:rsidRPr="00702A3D">
        <w:t>. Upowa</w:t>
      </w:r>
      <w:r w:rsidR="007823C4" w:rsidRPr="00702A3D">
        <w:t>ż</w:t>
      </w:r>
      <w:r w:rsidRPr="00702A3D">
        <w:t xml:space="preserve">niam </w:t>
      </w:r>
      <w:r w:rsidR="00702A3D" w:rsidRPr="00702A3D">
        <w:rPr>
          <w:rFonts w:cstheme="minorHAnsi"/>
          <w:color w:val="000000"/>
        </w:rPr>
        <w:t xml:space="preserve">Sekretarza Gminy do </w:t>
      </w:r>
      <w:r w:rsidR="00702A3D" w:rsidRPr="00196863">
        <w:t>przetwarzania danych osobowych</w:t>
      </w:r>
      <w:r w:rsidR="00702A3D" w:rsidRPr="00702A3D">
        <w:rPr>
          <w:rFonts w:cstheme="minorHAnsi"/>
          <w:color w:val="000000"/>
        </w:rPr>
        <w:t xml:space="preserve"> w zakresie monitorowania</w:t>
      </w:r>
      <w:r w:rsidR="00702A3D" w:rsidRPr="00F05E4E">
        <w:rPr>
          <w:rFonts w:cstheme="minorHAnsi"/>
          <w:color w:val="000000"/>
        </w:rPr>
        <w:t xml:space="preserve"> sytuacji kadrowej sygnalisty; monitorowanie obejmuje analizę uzasadnienia wszelkich wniosków przełożonych sygnalisty dotyczących zmiany jego sytuacji prawnej i faktycznej w ramach stosunku pracy</w:t>
      </w:r>
      <w:r w:rsidR="00702A3D">
        <w:rPr>
          <w:rFonts w:cstheme="minorHAnsi"/>
          <w:color w:val="000000"/>
        </w:rPr>
        <w:t>.</w:t>
      </w:r>
    </w:p>
    <w:p w14:paraId="0368ADEC" w14:textId="27B7958E" w:rsidR="00196863" w:rsidRPr="00196863" w:rsidRDefault="00196863" w:rsidP="00196863">
      <w:pPr>
        <w:rPr>
          <w:b/>
          <w:bCs/>
        </w:rPr>
      </w:pPr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="00AA0433">
        <w:rPr>
          <w:b/>
          <w:bCs/>
        </w:rPr>
        <w:t>7</w:t>
      </w:r>
      <w:r w:rsidRPr="00196863">
        <w:rPr>
          <w:b/>
          <w:bCs/>
        </w:rPr>
        <w:t xml:space="preserve">. </w:t>
      </w:r>
      <w:r w:rsidRPr="00196863">
        <w:t>Wykonanie zarządzenia powierza się Pełnomocnikowi Wójta Gminy ds. Zgłaszania Naruszeń.</w:t>
      </w:r>
    </w:p>
    <w:p w14:paraId="61E4E749" w14:textId="48F13CE1" w:rsidR="00196863" w:rsidRPr="00196863" w:rsidRDefault="00196863" w:rsidP="00196863">
      <w:pPr>
        <w:rPr>
          <w:b/>
          <w:bCs/>
        </w:rPr>
      </w:pPr>
      <w:r w:rsidRPr="00196863">
        <w:rPr>
          <w:b/>
          <w:bCs/>
        </w:rPr>
        <w:t>§</w:t>
      </w:r>
      <w:r w:rsidR="00DF4902">
        <w:rPr>
          <w:b/>
          <w:bCs/>
        </w:rPr>
        <w:t xml:space="preserve"> </w:t>
      </w:r>
      <w:r w:rsidR="00AA0433">
        <w:rPr>
          <w:b/>
          <w:bCs/>
        </w:rPr>
        <w:t>8</w:t>
      </w:r>
      <w:r w:rsidRPr="00196863">
        <w:rPr>
          <w:b/>
          <w:bCs/>
        </w:rPr>
        <w:t xml:space="preserve">. </w:t>
      </w:r>
      <w:r w:rsidRPr="00196863">
        <w:t xml:space="preserve">Zarządzenie wchodzi w życie z dniem </w:t>
      </w:r>
      <w:r w:rsidR="00702A3D">
        <w:t>23</w:t>
      </w:r>
      <w:r w:rsidRPr="00196863">
        <w:t xml:space="preserve"> </w:t>
      </w:r>
      <w:r w:rsidR="00702A3D">
        <w:t>grudnia</w:t>
      </w:r>
      <w:r w:rsidRPr="00196863">
        <w:t xml:space="preserve"> 2024 r.</w:t>
      </w:r>
    </w:p>
    <w:p w14:paraId="2589D056" w14:textId="77777777" w:rsidR="00196863" w:rsidRPr="00196863" w:rsidRDefault="00196863" w:rsidP="00196863"/>
    <w:p w14:paraId="266B4ABD" w14:textId="16A89FE9" w:rsidR="00D97C16" w:rsidRDefault="00D97C16" w:rsidP="00D97C16">
      <w:pPr>
        <w:pStyle w:val="Standard"/>
        <w:spacing w:line="276" w:lineRule="auto"/>
        <w:ind w:left="5245" w:right="95"/>
        <w:jc w:val="center"/>
        <w:rPr>
          <w:rFonts w:ascii="Carlito" w:eastAsia="Calibri" w:hAnsi="Carlito" w:cs="Calibri"/>
          <w:sz w:val="22"/>
          <w:szCs w:val="22"/>
          <w:shd w:val="clear" w:color="auto" w:fill="FFFFFF"/>
        </w:rPr>
      </w:pPr>
      <w:r>
        <w:rPr>
          <w:rFonts w:ascii="Carlito" w:eastAsia="Calibri" w:hAnsi="Carlito" w:cs="Calibri"/>
          <w:sz w:val="22"/>
          <w:szCs w:val="22"/>
          <w:shd w:val="clear" w:color="auto" w:fill="FFFFFF"/>
        </w:rPr>
        <w:t>Wójt</w:t>
      </w:r>
    </w:p>
    <w:p w14:paraId="7D1F04E8" w14:textId="77777777" w:rsidR="00D97C16" w:rsidRDefault="00D97C16" w:rsidP="00D97C16">
      <w:pPr>
        <w:pStyle w:val="Standard"/>
        <w:spacing w:line="276" w:lineRule="auto"/>
        <w:ind w:left="5245" w:right="95"/>
        <w:jc w:val="center"/>
        <w:rPr>
          <w:rFonts w:ascii="Carlito" w:eastAsia="Calibri" w:hAnsi="Carlito" w:cs="Calibri"/>
          <w:sz w:val="22"/>
          <w:szCs w:val="22"/>
          <w:shd w:val="clear" w:color="auto" w:fill="FFFFFF"/>
        </w:rPr>
      </w:pPr>
      <w:r>
        <w:rPr>
          <w:rFonts w:ascii="Carlito" w:eastAsia="Calibri" w:hAnsi="Carlito" w:cs="Calibri"/>
          <w:sz w:val="22"/>
          <w:szCs w:val="22"/>
          <w:shd w:val="clear" w:color="auto" w:fill="FFFFFF"/>
        </w:rPr>
        <w:t>/-/ Tomasz Pawlak</w:t>
      </w:r>
    </w:p>
    <w:p w14:paraId="330A2D8A" w14:textId="77777777" w:rsidR="00196863" w:rsidRPr="00196863" w:rsidRDefault="00196863" w:rsidP="00196863"/>
    <w:p w14:paraId="243AAB92" w14:textId="77777777" w:rsidR="00BD3386" w:rsidRDefault="00BD3386"/>
    <w:sectPr w:rsidR="00BD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1979"/>
    <w:multiLevelType w:val="multilevel"/>
    <w:tmpl w:val="CC545BE4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1" w15:restartNumberingAfterBreak="0">
    <w:nsid w:val="2DA0063B"/>
    <w:multiLevelType w:val="multilevel"/>
    <w:tmpl w:val="476C8000"/>
    <w:lvl w:ilvl="0">
      <w:start w:val="1"/>
      <w:numFmt w:val="decimal"/>
      <w:lvlText w:val="%1)"/>
      <w:lvlJc w:val="left"/>
      <w:pPr>
        <w:ind w:left="633" w:hanging="360"/>
      </w:pPr>
    </w:lvl>
    <w:lvl w:ilvl="1">
      <w:start w:val="1"/>
      <w:numFmt w:val="lowerLetter"/>
      <w:lvlText w:val="%2)"/>
      <w:lvlJc w:val="left"/>
      <w:pPr>
        <w:ind w:left="993" w:hanging="360"/>
      </w:pPr>
    </w:lvl>
    <w:lvl w:ilvl="2">
      <w:start w:val="1"/>
      <w:numFmt w:val="lowerLetter"/>
      <w:lvlText w:val="%3)"/>
      <w:lvlJc w:val="left"/>
      <w:pPr>
        <w:ind w:left="1353" w:hanging="360"/>
      </w:pPr>
    </w:lvl>
    <w:lvl w:ilvl="3">
      <w:start w:val="1"/>
      <w:numFmt w:val="lowerLetter"/>
      <w:lvlText w:val="%4)"/>
      <w:lvlJc w:val="left"/>
      <w:pPr>
        <w:ind w:left="1713" w:hanging="360"/>
      </w:pPr>
    </w:lvl>
    <w:lvl w:ilvl="4">
      <w:start w:val="1"/>
      <w:numFmt w:val="lowerLetter"/>
      <w:lvlText w:val="%5)"/>
      <w:lvlJc w:val="left"/>
      <w:pPr>
        <w:ind w:left="2073" w:hanging="360"/>
      </w:pPr>
    </w:lvl>
    <w:lvl w:ilvl="5">
      <w:start w:val="1"/>
      <w:numFmt w:val="lowerLetter"/>
      <w:lvlText w:val="%6)"/>
      <w:lvlJc w:val="left"/>
      <w:pPr>
        <w:ind w:left="2433" w:hanging="360"/>
      </w:pPr>
    </w:lvl>
    <w:lvl w:ilvl="6">
      <w:start w:val="1"/>
      <w:numFmt w:val="lowerLetter"/>
      <w:lvlText w:val="%7)"/>
      <w:lvlJc w:val="left"/>
      <w:pPr>
        <w:ind w:left="2793" w:hanging="360"/>
      </w:pPr>
    </w:lvl>
    <w:lvl w:ilvl="7">
      <w:start w:val="1"/>
      <w:numFmt w:val="lowerLetter"/>
      <w:lvlText w:val="%8)"/>
      <w:lvlJc w:val="left"/>
      <w:pPr>
        <w:ind w:left="3153" w:hanging="360"/>
      </w:pPr>
    </w:lvl>
    <w:lvl w:ilvl="8">
      <w:start w:val="1"/>
      <w:numFmt w:val="lowerLetter"/>
      <w:lvlText w:val="%9)"/>
      <w:lvlJc w:val="left"/>
      <w:pPr>
        <w:ind w:left="3513" w:hanging="360"/>
      </w:pPr>
    </w:lvl>
  </w:abstractNum>
  <w:abstractNum w:abstractNumId="2" w15:restartNumberingAfterBreak="0">
    <w:nsid w:val="4C982143"/>
    <w:multiLevelType w:val="hybridMultilevel"/>
    <w:tmpl w:val="33EA0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19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594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05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DA"/>
    <w:rsid w:val="000C341C"/>
    <w:rsid w:val="00196863"/>
    <w:rsid w:val="00363700"/>
    <w:rsid w:val="00702A3D"/>
    <w:rsid w:val="007314F9"/>
    <w:rsid w:val="007823C4"/>
    <w:rsid w:val="00AA0433"/>
    <w:rsid w:val="00B721B2"/>
    <w:rsid w:val="00BD3386"/>
    <w:rsid w:val="00C62BD0"/>
    <w:rsid w:val="00D36FDA"/>
    <w:rsid w:val="00D97C16"/>
    <w:rsid w:val="00DF4902"/>
    <w:rsid w:val="00E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2F50"/>
  <w15:chartTrackingRefBased/>
  <w15:docId w15:val="{C47AD018-3D13-42D5-AA79-7B5355C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8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863"/>
    <w:rPr>
      <w:color w:val="605E5C"/>
      <w:shd w:val="clear" w:color="auto" w:fill="E1DFDD"/>
    </w:rPr>
  </w:style>
  <w:style w:type="paragraph" w:customStyle="1" w:styleId="Standard">
    <w:name w:val="Standard"/>
    <w:qFormat/>
    <w:rsid w:val="001968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1">
    <w:name w:val="Domyślna czcionka akapitu1"/>
    <w:qFormat/>
    <w:rsid w:val="0019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loszenia@plock.eu" TargetMode="External"/><Relationship Id="rId5" Type="http://schemas.openxmlformats.org/officeDocument/2006/relationships/hyperlink" Target="mailto:zgloszenia@ploc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8</cp:revision>
  <cp:lastPrinted>2024-12-23T11:01:00Z</cp:lastPrinted>
  <dcterms:created xsi:type="dcterms:W3CDTF">2024-12-23T07:03:00Z</dcterms:created>
  <dcterms:modified xsi:type="dcterms:W3CDTF">2024-12-23T11:03:00Z</dcterms:modified>
</cp:coreProperties>
</file>