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sidR="00CB5E2B">
        <w:rPr>
          <w:rFonts w:ascii="Tahoma" w:hAnsi="Tahoma" w:cs="Tahoma"/>
          <w:color w:val="000000"/>
          <w:sz w:val="52"/>
          <w:szCs w:val="52"/>
        </w:rPr>
        <w:t xml:space="preserve">Mielcuchy </w:t>
      </w:r>
      <w:r w:rsidR="00E42DF1">
        <w:rPr>
          <w:rFonts w:ascii="Tahoma" w:hAnsi="Tahoma" w:cs="Tahoma"/>
          <w:color w:val="000000"/>
          <w:sz w:val="52"/>
          <w:szCs w:val="52"/>
        </w:rPr>
        <w:br/>
        <w:t>- Michałów</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 xml:space="preserve">PRZEBUDOWA DROGI GMINNEJ </w:t>
      </w:r>
      <w:r w:rsidR="00CB5E2B">
        <w:rPr>
          <w:rFonts w:ascii="Tahoma" w:hAnsi="Tahoma" w:cs="Tahoma"/>
          <w:b/>
          <w:bCs/>
          <w:color w:val="000000"/>
          <w:sz w:val="36"/>
          <w:szCs w:val="36"/>
        </w:rPr>
        <w:t xml:space="preserve">MIELCUCHY </w:t>
      </w:r>
      <w:r w:rsidR="00E42DF1">
        <w:rPr>
          <w:rFonts w:ascii="Tahoma" w:hAnsi="Tahoma" w:cs="Tahoma"/>
          <w:b/>
          <w:bCs/>
          <w:color w:val="000000"/>
          <w:sz w:val="36"/>
          <w:szCs w:val="36"/>
        </w:rPr>
        <w:br/>
        <w:t>- MICHAŁÓW</w:t>
      </w:r>
      <w:r w:rsidR="00CB5E2B">
        <w:rPr>
          <w:rFonts w:ascii="Tahoma" w:hAnsi="Tahoma" w:cs="Tahoma"/>
          <w:b/>
          <w:bCs/>
          <w:color w:val="000000"/>
          <w:sz w:val="36"/>
          <w:szCs w:val="36"/>
        </w:rPr>
        <w:t>”</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E42DF1"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06.10</w:t>
      </w:r>
      <w:r w:rsidR="00855E12">
        <w:rPr>
          <w:rFonts w:ascii="Tahoma" w:hAnsi="Tahoma" w:cs="Tahoma"/>
          <w:color w:val="000000"/>
          <w:sz w:val="28"/>
          <w:szCs w:val="28"/>
        </w:rPr>
        <w:t>.2015</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9"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E42DF1" w:rsidRDefault="00E42DF1" w:rsidP="00B55228">
      <w:pPr>
        <w:pStyle w:val="Style6"/>
        <w:widowControl/>
        <w:tabs>
          <w:tab w:val="left" w:pos="422"/>
        </w:tabs>
        <w:spacing w:before="60" w:line="276" w:lineRule="auto"/>
        <w:ind w:firstLine="0"/>
        <w:rPr>
          <w:rStyle w:val="FontStyle33"/>
          <w:rFonts w:ascii="Times New Roman" w:hAnsi="Times New Roman" w:cs="Times New Roman"/>
          <w:sz w:val="24"/>
          <w:szCs w:val="24"/>
        </w:rPr>
      </w:pP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E42DF1">
        <w:rPr>
          <w:rStyle w:val="FontStyle33"/>
          <w:rFonts w:ascii="Times New Roman" w:hAnsi="Times New Roman" w:cs="Times New Roman"/>
          <w:sz w:val="24"/>
          <w:szCs w:val="24"/>
        </w:rPr>
        <w:t>ROZDZIAŁ 3. Określenie przedmiotu zamówienia</w:t>
      </w:r>
      <w:r w:rsidRPr="008420C4">
        <w:rPr>
          <w:rStyle w:val="FontStyle33"/>
          <w:rFonts w:ascii="Times New Roman" w:hAnsi="Times New Roman" w:cs="Times New Roman"/>
          <w:b w:val="0"/>
          <w:sz w:val="24"/>
          <w:szCs w:val="24"/>
        </w:rPr>
        <w:t>.</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 xml:space="preserve">Przebudowie drogi gminnej w miejscowości </w:t>
      </w:r>
      <w:r w:rsidR="0012511E">
        <w:rPr>
          <w:b/>
        </w:rPr>
        <w:t xml:space="preserve">Mielcuchy </w:t>
      </w:r>
      <w:r w:rsidR="00E42DF1">
        <w:rPr>
          <w:b/>
        </w:rPr>
        <w:t>- Michałów</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w:t>
      </w:r>
      <w:r w:rsidR="00D57A3D">
        <w:rPr>
          <w:rStyle w:val="FontStyle36"/>
          <w:rFonts w:ascii="Times New Roman" w:hAnsi="Times New Roman" w:cs="Times New Roman"/>
          <w:sz w:val="24"/>
          <w:szCs w:val="24"/>
        </w:rPr>
        <w:t>140</w:t>
      </w:r>
      <w:r w:rsidRPr="00855E12">
        <w:rPr>
          <w:rStyle w:val="FontStyle36"/>
          <w:rFonts w:ascii="Times New Roman" w:hAnsi="Times New Roman" w:cs="Times New Roman"/>
          <w:sz w:val="24"/>
          <w:szCs w:val="24"/>
        </w:rPr>
        <w:t xml:space="preserve"> -</w:t>
      </w:r>
      <w:r w:rsidR="00D57A3D">
        <w:rPr>
          <w:rStyle w:val="FontStyle36"/>
          <w:rFonts w:ascii="Times New Roman" w:hAnsi="Times New Roman" w:cs="Times New Roman"/>
          <w:sz w:val="24"/>
          <w:szCs w:val="24"/>
        </w:rPr>
        <w:t xml:space="preserve"> 2</w:t>
      </w:r>
      <w:r w:rsidRPr="00855E12">
        <w:rPr>
          <w:rStyle w:val="FontStyle36"/>
          <w:rFonts w:ascii="Times New Roman" w:hAnsi="Times New Roman" w:cs="Times New Roman"/>
          <w:sz w:val="24"/>
          <w:szCs w:val="24"/>
        </w:rPr>
        <w:t xml:space="preserve"> ro</w:t>
      </w:r>
      <w:r w:rsidR="004279D3">
        <w:rPr>
          <w:rStyle w:val="FontStyle36"/>
          <w:rFonts w:ascii="Times New Roman" w:hAnsi="Times New Roman" w:cs="Times New Roman"/>
          <w:sz w:val="24"/>
          <w:szCs w:val="24"/>
        </w:rPr>
        <w:t>boty drogowe</w:t>
      </w:r>
    </w:p>
    <w:p w:rsidR="00160052" w:rsidRPr="00856DC5" w:rsidRDefault="00855E12" w:rsidP="00160052">
      <w:pPr>
        <w:pStyle w:val="Akapitzlist"/>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sidRPr="00856DC5">
        <w:rPr>
          <w:rStyle w:val="FontStyle36"/>
          <w:rFonts w:ascii="Times New Roman" w:hAnsi="Times New Roman" w:cs="Times New Roman"/>
          <w:sz w:val="24"/>
          <w:szCs w:val="24"/>
        </w:rPr>
        <w:lastRenderedPageBreak/>
        <w:t>Z</w:t>
      </w:r>
      <w:r w:rsidR="00B55228" w:rsidRPr="00856DC5">
        <w:rPr>
          <w:rStyle w:val="FontStyle36"/>
          <w:rFonts w:ascii="Times New Roman" w:hAnsi="Times New Roman" w:cs="Times New Roman"/>
          <w:sz w:val="24"/>
          <w:szCs w:val="24"/>
        </w:rPr>
        <w:t xml:space="preserve">akres robót </w:t>
      </w:r>
      <w:r w:rsidR="00160052" w:rsidRPr="00856DC5">
        <w:rPr>
          <w:rStyle w:val="FontStyle36"/>
          <w:rFonts w:ascii="Times New Roman" w:hAnsi="Times New Roman" w:cs="Times New Roman"/>
          <w:sz w:val="24"/>
          <w:szCs w:val="24"/>
        </w:rPr>
        <w:t>o</w:t>
      </w:r>
      <w:r w:rsidR="00B55228" w:rsidRPr="00856DC5">
        <w:rPr>
          <w:rStyle w:val="FontStyle36"/>
          <w:rFonts w:ascii="Times New Roman" w:hAnsi="Times New Roman" w:cs="Times New Roman"/>
          <w:color w:val="auto"/>
          <w:sz w:val="24"/>
          <w:szCs w:val="24"/>
        </w:rPr>
        <w:t>bejmuje</w:t>
      </w:r>
      <w:r w:rsidR="00160052" w:rsidRPr="00856DC5">
        <w:rPr>
          <w:rStyle w:val="FontStyle36"/>
          <w:rFonts w:ascii="Times New Roman" w:hAnsi="Times New Roman" w:cs="Times New Roman"/>
          <w:color w:val="auto"/>
          <w:sz w:val="24"/>
          <w:szCs w:val="24"/>
        </w:rPr>
        <w:t xml:space="preserve">: </w:t>
      </w:r>
      <w:r w:rsidR="00D67BD4" w:rsidRPr="00856DC5">
        <w:rPr>
          <w:rStyle w:val="FontStyle36"/>
          <w:rFonts w:ascii="Times New Roman" w:hAnsi="Times New Roman" w:cs="Times New Roman"/>
          <w:color w:val="auto"/>
          <w:sz w:val="24"/>
          <w:szCs w:val="24"/>
        </w:rPr>
        <w:t>inwentaryzacj</w:t>
      </w:r>
      <w:r w:rsidR="00E42DF1" w:rsidRPr="00856DC5">
        <w:rPr>
          <w:rStyle w:val="FontStyle36"/>
          <w:rFonts w:ascii="Times New Roman" w:hAnsi="Times New Roman" w:cs="Times New Roman"/>
          <w:color w:val="auto"/>
          <w:sz w:val="24"/>
          <w:szCs w:val="24"/>
        </w:rPr>
        <w:t>ę</w:t>
      </w:r>
      <w:r w:rsidR="00D67BD4" w:rsidRPr="00856DC5">
        <w:rPr>
          <w:rStyle w:val="FontStyle36"/>
          <w:rFonts w:ascii="Times New Roman" w:hAnsi="Times New Roman" w:cs="Times New Roman"/>
          <w:color w:val="auto"/>
          <w:sz w:val="24"/>
          <w:szCs w:val="24"/>
        </w:rPr>
        <w:t xml:space="preserve"> geodezyjną powykonawczą</w:t>
      </w:r>
      <w:r w:rsidR="00B31225" w:rsidRPr="00856DC5">
        <w:rPr>
          <w:rStyle w:val="FontStyle36"/>
          <w:rFonts w:ascii="Times New Roman" w:hAnsi="Times New Roman" w:cs="Times New Roman"/>
          <w:color w:val="auto"/>
          <w:sz w:val="24"/>
          <w:szCs w:val="24"/>
        </w:rPr>
        <w:t xml:space="preserve">, profilowanie i zagęszczanie </w:t>
      </w:r>
      <w:r w:rsidR="00E42DF1" w:rsidRPr="00856DC5">
        <w:rPr>
          <w:rStyle w:val="FontStyle36"/>
          <w:rFonts w:ascii="Times New Roman" w:hAnsi="Times New Roman" w:cs="Times New Roman"/>
          <w:color w:val="auto"/>
          <w:sz w:val="24"/>
          <w:szCs w:val="24"/>
        </w:rPr>
        <w:t>istniejącej nawierzchni z kruszywa w</w:t>
      </w:r>
      <w:r w:rsidR="00B31225" w:rsidRPr="00856DC5">
        <w:rPr>
          <w:rStyle w:val="FontStyle36"/>
          <w:rFonts w:ascii="Times New Roman" w:hAnsi="Times New Roman" w:cs="Times New Roman"/>
          <w:color w:val="auto"/>
          <w:sz w:val="24"/>
          <w:szCs w:val="24"/>
        </w:rPr>
        <w:t>ykonywane mechanicznie, warstwa górna podbudowy z kruszyw łamanych mieszank</w:t>
      </w:r>
      <w:r w:rsidR="00D67BD4" w:rsidRPr="00856DC5">
        <w:rPr>
          <w:rStyle w:val="FontStyle36"/>
          <w:rFonts w:ascii="Times New Roman" w:hAnsi="Times New Roman" w:cs="Times New Roman"/>
          <w:color w:val="auto"/>
          <w:sz w:val="24"/>
          <w:szCs w:val="24"/>
        </w:rPr>
        <w:t>a</w:t>
      </w:r>
      <w:r w:rsidR="00B31225" w:rsidRPr="00856DC5">
        <w:rPr>
          <w:rStyle w:val="FontStyle36"/>
          <w:rFonts w:ascii="Times New Roman" w:hAnsi="Times New Roman" w:cs="Times New Roman"/>
          <w:color w:val="auto"/>
          <w:sz w:val="24"/>
          <w:szCs w:val="24"/>
        </w:rPr>
        <w:t xml:space="preserve"> 0/</w:t>
      </w:r>
      <w:r w:rsidR="00E42DF1" w:rsidRPr="00856DC5">
        <w:rPr>
          <w:rStyle w:val="FontStyle36"/>
          <w:rFonts w:ascii="Times New Roman" w:hAnsi="Times New Roman" w:cs="Times New Roman"/>
          <w:color w:val="auto"/>
          <w:sz w:val="24"/>
          <w:szCs w:val="24"/>
        </w:rPr>
        <w:t>63</w:t>
      </w:r>
      <w:r w:rsidR="00B31225" w:rsidRPr="00856DC5">
        <w:rPr>
          <w:rStyle w:val="FontStyle36"/>
          <w:rFonts w:ascii="Times New Roman" w:hAnsi="Times New Roman" w:cs="Times New Roman"/>
          <w:color w:val="auto"/>
          <w:sz w:val="24"/>
          <w:szCs w:val="24"/>
        </w:rPr>
        <w:t xml:space="preserve"> o grubości </w:t>
      </w:r>
      <w:r w:rsidR="00E42DF1" w:rsidRPr="00856DC5">
        <w:rPr>
          <w:rStyle w:val="FontStyle36"/>
          <w:rFonts w:ascii="Times New Roman" w:hAnsi="Times New Roman" w:cs="Times New Roman"/>
          <w:color w:val="auto"/>
          <w:sz w:val="24"/>
          <w:szCs w:val="24"/>
        </w:rPr>
        <w:t>12</w:t>
      </w:r>
      <w:r w:rsidR="00B31225" w:rsidRPr="00856DC5">
        <w:rPr>
          <w:rStyle w:val="FontStyle36"/>
          <w:rFonts w:ascii="Times New Roman" w:hAnsi="Times New Roman" w:cs="Times New Roman"/>
          <w:color w:val="auto"/>
          <w:sz w:val="24"/>
          <w:szCs w:val="24"/>
        </w:rPr>
        <w:t xml:space="preserve"> cm, </w:t>
      </w:r>
      <w:r w:rsidR="00882572" w:rsidRPr="00856DC5">
        <w:rPr>
          <w:rStyle w:val="FontStyle36"/>
          <w:rFonts w:ascii="Times New Roman" w:hAnsi="Times New Roman" w:cs="Times New Roman"/>
          <w:color w:val="auto"/>
          <w:sz w:val="24"/>
          <w:szCs w:val="24"/>
        </w:rPr>
        <w:t>ukop i zakup pospółki na pobocz</w:t>
      </w:r>
      <w:r w:rsidR="00882572" w:rsidRPr="00856DC5">
        <w:rPr>
          <w:rStyle w:val="FontStyle36"/>
          <w:rFonts w:ascii="Times New Roman" w:hAnsi="Times New Roman" w:cs="Times New Roman"/>
          <w:color w:val="auto"/>
          <w:sz w:val="24"/>
          <w:szCs w:val="24"/>
        </w:rPr>
        <w:t>a</w:t>
      </w:r>
      <w:r w:rsidR="00882572" w:rsidRPr="00856DC5">
        <w:rPr>
          <w:rStyle w:val="FontStyle36"/>
          <w:rFonts w:ascii="Times New Roman" w:hAnsi="Times New Roman" w:cs="Times New Roman"/>
          <w:color w:val="auto"/>
          <w:sz w:val="24"/>
          <w:szCs w:val="24"/>
        </w:rPr>
        <w:t>; roboty ziemne wykonywane koparkami podsiębiernymi o pojemności łyżki 0,</w:t>
      </w:r>
      <w:r w:rsidR="00882572" w:rsidRPr="00856DC5">
        <w:rPr>
          <w:rStyle w:val="FontStyle36"/>
          <w:rFonts w:ascii="Times New Roman" w:hAnsi="Times New Roman" w:cs="Times New Roman"/>
          <w:color w:val="auto"/>
          <w:sz w:val="24"/>
          <w:szCs w:val="24"/>
        </w:rPr>
        <w:t>25</w:t>
      </w:r>
      <w:r w:rsidR="00882572" w:rsidRPr="00856DC5">
        <w:rPr>
          <w:rStyle w:val="FontStyle36"/>
          <w:rFonts w:ascii="Times New Roman" w:hAnsi="Times New Roman" w:cs="Times New Roman"/>
          <w:color w:val="auto"/>
          <w:sz w:val="24"/>
          <w:szCs w:val="24"/>
        </w:rPr>
        <w:t>m</w:t>
      </w:r>
      <w:r w:rsidR="00882572" w:rsidRPr="00856DC5">
        <w:rPr>
          <w:rStyle w:val="FontStyle36"/>
          <w:rFonts w:ascii="Times New Roman" w:hAnsi="Times New Roman" w:cs="Times New Roman"/>
          <w:color w:val="auto"/>
          <w:sz w:val="24"/>
          <w:szCs w:val="24"/>
          <w:vertAlign w:val="superscript"/>
        </w:rPr>
        <w:t>3</w:t>
      </w:r>
      <w:r w:rsidR="00882572" w:rsidRPr="00856DC5">
        <w:rPr>
          <w:rStyle w:val="FontStyle36"/>
          <w:rFonts w:ascii="Times New Roman" w:hAnsi="Times New Roman" w:cs="Times New Roman"/>
          <w:color w:val="auto"/>
          <w:sz w:val="24"/>
          <w:szCs w:val="24"/>
        </w:rPr>
        <w:t xml:space="preserve"> w gruncie kategorii I – II z transportem urobku na odległość &gt; 1 km samochodami samowyładowczymi</w:t>
      </w:r>
      <w:r w:rsidR="00882572" w:rsidRPr="00856DC5">
        <w:rPr>
          <w:rStyle w:val="FontStyle36"/>
          <w:rFonts w:ascii="Times New Roman" w:hAnsi="Times New Roman" w:cs="Times New Roman"/>
          <w:color w:val="auto"/>
          <w:sz w:val="24"/>
          <w:szCs w:val="24"/>
        </w:rPr>
        <w:t>,</w:t>
      </w:r>
      <w:r w:rsidR="00856DC5" w:rsidRPr="00856DC5">
        <w:rPr>
          <w:rStyle w:val="FontStyle36"/>
          <w:rFonts w:ascii="Times New Roman" w:hAnsi="Times New Roman" w:cs="Times New Roman"/>
          <w:color w:val="auto"/>
          <w:sz w:val="24"/>
          <w:szCs w:val="24"/>
        </w:rPr>
        <w:t xml:space="preserve"> formowanie i zagęszczanie nasypów o wys. do 3,0m spycharkami w gruncie kat. I – II</w:t>
      </w:r>
      <w:r w:rsidR="00856DC5">
        <w:rPr>
          <w:rStyle w:val="FontStyle36"/>
          <w:rFonts w:ascii="Times New Roman" w:hAnsi="Times New Roman" w:cs="Times New Roman"/>
          <w:color w:val="auto"/>
          <w:sz w:val="24"/>
          <w:szCs w:val="24"/>
        </w:rPr>
        <w:t>, zagęszczanie nasypów walcami samojezdnymi statycznymi; grunt sypki kat. I-II,</w:t>
      </w:r>
      <w:r w:rsidR="00882572" w:rsidRPr="00856DC5">
        <w:rPr>
          <w:rStyle w:val="FontStyle36"/>
          <w:rFonts w:ascii="Times New Roman" w:hAnsi="Times New Roman" w:cs="Times New Roman"/>
          <w:color w:val="auto"/>
          <w:sz w:val="24"/>
          <w:szCs w:val="24"/>
        </w:rPr>
        <w:t xml:space="preserve"> </w:t>
      </w:r>
      <w:r w:rsidR="00B31225" w:rsidRPr="00856DC5">
        <w:rPr>
          <w:rStyle w:val="FontStyle36"/>
          <w:rFonts w:ascii="Times New Roman" w:hAnsi="Times New Roman" w:cs="Times New Roman"/>
          <w:color w:val="auto"/>
          <w:sz w:val="24"/>
          <w:szCs w:val="24"/>
        </w:rPr>
        <w:t>skropienie emulsją asfaltową w ilości 0,7 kg/m</w:t>
      </w:r>
      <w:r w:rsidR="00B31225" w:rsidRPr="00856DC5">
        <w:rPr>
          <w:rStyle w:val="FontStyle36"/>
          <w:rFonts w:ascii="Times New Roman" w:hAnsi="Times New Roman" w:cs="Times New Roman"/>
          <w:color w:val="auto"/>
          <w:sz w:val="24"/>
          <w:szCs w:val="24"/>
          <w:vertAlign w:val="superscript"/>
        </w:rPr>
        <w:t>2</w:t>
      </w:r>
      <w:r w:rsidR="00B31225" w:rsidRPr="00856DC5">
        <w:rPr>
          <w:rStyle w:val="FontStyle36"/>
          <w:rFonts w:ascii="Times New Roman" w:hAnsi="Times New Roman" w:cs="Times New Roman"/>
          <w:color w:val="auto"/>
          <w:sz w:val="24"/>
          <w:szCs w:val="24"/>
        </w:rPr>
        <w:t xml:space="preserve">, nawierzchnie z mieszanek </w:t>
      </w:r>
      <w:proofErr w:type="spellStart"/>
      <w:r w:rsidR="00B31225" w:rsidRPr="00856DC5">
        <w:rPr>
          <w:rStyle w:val="FontStyle36"/>
          <w:rFonts w:ascii="Times New Roman" w:hAnsi="Times New Roman" w:cs="Times New Roman"/>
          <w:color w:val="auto"/>
          <w:sz w:val="24"/>
          <w:szCs w:val="24"/>
        </w:rPr>
        <w:t>mineralno</w:t>
      </w:r>
      <w:proofErr w:type="spellEnd"/>
      <w:r w:rsidR="00B31225" w:rsidRPr="00856DC5">
        <w:rPr>
          <w:rStyle w:val="FontStyle36"/>
          <w:rFonts w:ascii="Times New Roman" w:hAnsi="Times New Roman" w:cs="Times New Roman"/>
          <w:color w:val="auto"/>
          <w:sz w:val="24"/>
          <w:szCs w:val="24"/>
        </w:rPr>
        <w:t xml:space="preserve"> – bitumicznych asfaltowych</w:t>
      </w:r>
      <w:r w:rsidR="00856DC5">
        <w:rPr>
          <w:rStyle w:val="FontStyle36"/>
          <w:rFonts w:ascii="Times New Roman" w:hAnsi="Times New Roman" w:cs="Times New Roman"/>
          <w:color w:val="auto"/>
          <w:sz w:val="24"/>
          <w:szCs w:val="24"/>
        </w:rPr>
        <w:t xml:space="preserve"> AC 11S 50/70</w:t>
      </w:r>
      <w:r w:rsidR="00B31225" w:rsidRPr="00856DC5">
        <w:rPr>
          <w:rStyle w:val="FontStyle36"/>
          <w:rFonts w:ascii="Times New Roman" w:hAnsi="Times New Roman" w:cs="Times New Roman"/>
          <w:color w:val="auto"/>
          <w:sz w:val="24"/>
          <w:szCs w:val="24"/>
        </w:rPr>
        <w:t xml:space="preserve"> o grubości 4 cm</w:t>
      </w:r>
      <w:r w:rsidR="00DF0702" w:rsidRPr="00856DC5">
        <w:rPr>
          <w:rStyle w:val="FontStyle36"/>
          <w:rFonts w:ascii="Times New Roman" w:hAnsi="Times New Roman" w:cs="Times New Roman"/>
          <w:color w:val="auto"/>
          <w:sz w:val="24"/>
          <w:szCs w:val="24"/>
        </w:rPr>
        <w:t>.</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przedmiotem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10"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E14E8F">
        <w:rPr>
          <w:rStyle w:val="FontStyle30"/>
          <w:rFonts w:ascii="Times New Roman" w:hAnsi="Times New Roman" w:cs="Times New Roman"/>
          <w:sz w:val="24"/>
          <w:szCs w:val="24"/>
        </w:rPr>
        <w:t>25</w:t>
      </w:r>
      <w:r w:rsidR="002453AE">
        <w:rPr>
          <w:rStyle w:val="FontStyle30"/>
          <w:rFonts w:ascii="Times New Roman" w:hAnsi="Times New Roman" w:cs="Times New Roman"/>
          <w:sz w:val="24"/>
          <w:szCs w:val="24"/>
        </w:rPr>
        <w:t xml:space="preserve">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lastRenderedPageBreak/>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sidR="005D7CE8">
        <w:rPr>
          <w:rFonts w:ascii="Times New Roman" w:hAnsi="Times New Roman"/>
          <w:noProof/>
          <w:color w:val="000000" w:themeColor="text1"/>
        </w:rPr>
        <w:t xml:space="preserve"> – załącznik nr 11</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3E0820">
      <w:pPr>
        <w:pStyle w:val="Style20"/>
        <w:widowControl/>
        <w:numPr>
          <w:ilvl w:val="0"/>
          <w:numId w:val="7"/>
        </w:numPr>
        <w:spacing w:before="125" w:after="60" w:line="276" w:lineRule="auto"/>
        <w:ind w:left="426"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w:t>
      </w:r>
      <w:r>
        <w:rPr>
          <w:rStyle w:val="FontStyle26"/>
          <w:rFonts w:ascii="Times New Roman" w:hAnsi="Times New Roman" w:cs="Times New Roman"/>
          <w:sz w:val="24"/>
          <w:szCs w:val="24"/>
        </w:rPr>
        <w:lastRenderedPageBreak/>
        <w:t xml:space="preserve">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Zamawiający żąda, aby Wykonawca nie później niż na dzień składania ofert, wykazał brak podstaw do wykluczenia z postępowania z powodu niespełnieni</w:t>
      </w:r>
      <w:r w:rsidR="000A0F99">
        <w:rPr>
          <w:rStyle w:val="FontStyle30"/>
          <w:rFonts w:ascii="Times New Roman" w:hAnsi="Times New Roman" w:cs="Times New Roman"/>
          <w:b w:val="0"/>
          <w:sz w:val="24"/>
          <w:szCs w:val="24"/>
        </w:rPr>
        <w:t xml:space="preserve">a warunków,               o </w:t>
      </w:r>
      <w:r w:rsidRPr="008A1F5D">
        <w:rPr>
          <w:rStyle w:val="FontStyle30"/>
          <w:rFonts w:ascii="Times New Roman" w:hAnsi="Times New Roman" w:cs="Times New Roman"/>
          <w:b w:val="0"/>
          <w:sz w:val="24"/>
          <w:szCs w:val="24"/>
        </w:rPr>
        <w:t xml:space="preserve">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3E082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b/>
          <w:i/>
          <w:sz w:val="24"/>
          <w:szCs w:val="24"/>
        </w:rPr>
      </w:pPr>
      <w:r w:rsidRPr="003E0820">
        <w:rPr>
          <w:rStyle w:val="FontStyle36"/>
          <w:rFonts w:ascii="Times New Roman" w:hAnsi="Times New Roman" w:cs="Times New Roman"/>
          <w:b/>
          <w:i/>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3E0820" w:rsidP="003E0820">
      <w:pPr>
        <w:pStyle w:val="Style5"/>
        <w:widowControl/>
        <w:tabs>
          <w:tab w:val="left" w:pos="538"/>
        </w:tabs>
        <w:spacing w:before="45" w:after="45" w:line="276" w:lineRule="auto"/>
        <w:ind w:left="568"/>
        <w:rPr>
          <w:rStyle w:val="FontStyle36"/>
          <w:rFonts w:ascii="Times New Roman" w:hAnsi="Times New Roman" w:cs="Times New Roman"/>
          <w:sz w:val="24"/>
          <w:szCs w:val="24"/>
        </w:rPr>
      </w:pP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wzór d</w:t>
      </w:r>
      <w:r w:rsidR="00B55228">
        <w:rPr>
          <w:rStyle w:val="FontStyle36"/>
          <w:rFonts w:ascii="Times New Roman" w:hAnsi="Times New Roman" w:cs="Times New Roman"/>
          <w:sz w:val="24"/>
          <w:szCs w:val="24"/>
        </w:rPr>
        <w:t xml:space="preserve">okumentu stanowi załącznik nr 6 </w:t>
      </w:r>
      <w:r w:rsidR="00B55228" w:rsidRPr="006E4452">
        <w:rPr>
          <w:rStyle w:val="FontStyle36"/>
          <w:rFonts w:ascii="Times New Roman" w:hAnsi="Times New Roman" w:cs="Times New Roman"/>
          <w:sz w:val="24"/>
          <w:szCs w:val="24"/>
        </w:rPr>
        <w:t>do</w:t>
      </w:r>
      <w:r w:rsidR="00B55228" w:rsidRPr="006E4452">
        <w:rPr>
          <w:rStyle w:val="FontStyle36"/>
          <w:rFonts w:ascii="Times New Roman" w:hAnsi="Times New Roman" w:cs="Times New Roman"/>
          <w:color w:val="FF0000"/>
          <w:sz w:val="24"/>
          <w:szCs w:val="24"/>
        </w:rPr>
        <w:t xml:space="preserve"> </w:t>
      </w:r>
      <w:r w:rsidR="00B55228" w:rsidRPr="006E4452">
        <w:rPr>
          <w:rStyle w:val="FontStyle36"/>
          <w:rFonts w:ascii="Times New Roman" w:hAnsi="Times New Roman" w:cs="Times New Roman"/>
          <w:sz w:val="24"/>
          <w:szCs w:val="24"/>
        </w:rPr>
        <w:t>SIWZ</w:t>
      </w: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 xml:space="preserve">;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lastRenderedPageBreak/>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w:t>
      </w:r>
      <w:r w:rsidR="003E0820">
        <w:rPr>
          <w:rStyle w:val="FontStyle36"/>
          <w:rFonts w:ascii="Times New Roman" w:hAnsi="Times New Roman" w:cs="Times New Roman"/>
          <w:sz w:val="24"/>
          <w:szCs w:val="24"/>
        </w:rPr>
        <w:t>(kopia zawartej umowy ubezpieczenia i potwierdzenie dokonania opłacenia składki)</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lastRenderedPageBreak/>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 xml:space="preserve">wspólnie </w:t>
      </w:r>
      <w:r>
        <w:rPr>
          <w:rStyle w:val="FontStyle36"/>
          <w:rFonts w:ascii="Times New Roman" w:hAnsi="Times New Roman" w:cs="Times New Roman"/>
          <w:sz w:val="24"/>
          <w:szCs w:val="24"/>
        </w:rPr>
        <w:lastRenderedPageBreak/>
        <w:t>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546F8E">
      <w:pPr>
        <w:pStyle w:val="Akapitzlist"/>
        <w:autoSpaceDE w:val="0"/>
        <w:autoSpaceDN w:val="0"/>
        <w:adjustRightInd w:val="0"/>
        <w:ind w:left="360"/>
        <w:jc w:val="both"/>
      </w:pPr>
      <w:r w:rsidRPr="008A3BE8">
        <w:t>- uzupełniony formularz ofertowy,</w:t>
      </w:r>
    </w:p>
    <w:p w:rsidR="00B55228" w:rsidRPr="008A3BE8" w:rsidRDefault="00B55228" w:rsidP="00546F8E">
      <w:pPr>
        <w:pStyle w:val="Akapitzlist"/>
        <w:autoSpaceDE w:val="0"/>
        <w:autoSpaceDN w:val="0"/>
        <w:adjustRightInd w:val="0"/>
        <w:ind w:left="360"/>
        <w:jc w:val="both"/>
      </w:pPr>
      <w:r w:rsidRPr="008A3BE8">
        <w:t>- podpisany wzór umowy,</w:t>
      </w:r>
      <w:r w:rsidR="00A97D0F">
        <w:t xml:space="preserve"> wypełniony kosztorys ofertowy,</w:t>
      </w:r>
    </w:p>
    <w:p w:rsidR="00B55228" w:rsidRPr="00130508" w:rsidRDefault="00B55228" w:rsidP="00546F8E">
      <w:pPr>
        <w:pStyle w:val="Akapitzlist"/>
        <w:autoSpaceDE w:val="0"/>
        <w:autoSpaceDN w:val="0"/>
        <w:adjustRightInd w:val="0"/>
        <w:ind w:left="36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546F8E" w:rsidRDefault="00546F8E" w:rsidP="00B55228">
      <w:pPr>
        <w:pStyle w:val="Style17"/>
        <w:widowControl/>
        <w:tabs>
          <w:tab w:val="left" w:pos="278"/>
        </w:tabs>
        <w:spacing w:before="60" w:after="120" w:line="276" w:lineRule="auto"/>
        <w:ind w:firstLine="0"/>
        <w:jc w:val="both"/>
        <w:rPr>
          <w:rStyle w:val="FontStyle33"/>
          <w:rFonts w:ascii="Times New Roman" w:hAnsi="Times New Roman" w:cs="Times New Roman"/>
          <w:sz w:val="24"/>
          <w:szCs w:val="24"/>
        </w:rPr>
      </w:pP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lastRenderedPageBreak/>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 xml:space="preserve">NIE UDOSTĘPNIAĆ </w:t>
      </w:r>
      <w:r w:rsidRPr="001E573F">
        <w:rPr>
          <w:rStyle w:val="FontStyle36"/>
          <w:rFonts w:ascii="Times New Roman" w:hAnsi="Times New Roman" w:cs="Times New Roman"/>
          <w:b/>
          <w:sz w:val="24"/>
          <w:szCs w:val="24"/>
        </w:rPr>
        <w:lastRenderedPageBreak/>
        <w:t>–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3E0820">
        <w:rPr>
          <w:rStyle w:val="FontStyle34"/>
          <w:rFonts w:ascii="Times New Roman" w:hAnsi="Times New Roman" w:cs="Times New Roman"/>
          <w:sz w:val="24"/>
          <w:szCs w:val="24"/>
        </w:rPr>
        <w:t xml:space="preserve">MIELCUCHY </w:t>
      </w:r>
      <w:r w:rsidR="004D0523">
        <w:rPr>
          <w:rStyle w:val="FontStyle34"/>
          <w:rFonts w:ascii="Times New Roman" w:hAnsi="Times New Roman" w:cs="Times New Roman"/>
          <w:sz w:val="24"/>
          <w:szCs w:val="24"/>
        </w:rPr>
        <w:t>- MICHAŁÓW</w:t>
      </w:r>
      <w:r w:rsidR="001E573F">
        <w:rPr>
          <w:rStyle w:val="FontStyle34"/>
          <w:rFonts w:ascii="Times New Roman" w:hAnsi="Times New Roman" w:cs="Times New Roman"/>
          <w:sz w:val="24"/>
          <w:szCs w:val="24"/>
        </w:rPr>
        <w:t>”</w:t>
      </w:r>
      <w:r w:rsidR="008420C4">
        <w:rPr>
          <w:rStyle w:val="FontStyle34"/>
          <w:rFonts w:ascii="Times New Roman" w:hAnsi="Times New Roman" w:cs="Times New Roman"/>
          <w:sz w:val="24"/>
          <w:szCs w:val="24"/>
        </w:rPr>
        <w:t xml:space="preserve"> Nie otwierać przed </w:t>
      </w:r>
      <w:r w:rsidR="004D0523">
        <w:rPr>
          <w:rStyle w:val="FontStyle34"/>
          <w:rFonts w:ascii="Times New Roman" w:hAnsi="Times New Roman" w:cs="Times New Roman"/>
          <w:sz w:val="24"/>
          <w:szCs w:val="24"/>
        </w:rPr>
        <w:t>22 października</w:t>
      </w:r>
      <w:r w:rsidR="008420C4">
        <w:rPr>
          <w:rStyle w:val="FontStyle34"/>
          <w:rFonts w:ascii="Times New Roman" w:hAnsi="Times New Roman" w:cs="Times New Roman"/>
          <w:sz w:val="24"/>
          <w:szCs w:val="24"/>
        </w:rPr>
        <w:t xml:space="preserve"> 2015 godz. 10.</w:t>
      </w:r>
      <w:r w:rsidR="00FC6550">
        <w:rPr>
          <w:rStyle w:val="FontStyle34"/>
          <w:rFonts w:ascii="Times New Roman" w:hAnsi="Times New Roman" w:cs="Times New Roman"/>
          <w:sz w:val="24"/>
          <w:szCs w:val="24"/>
        </w:rPr>
        <w:t>15</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1308B8" w:rsidRPr="008420C4">
        <w:rPr>
          <w:rStyle w:val="FontStyle34"/>
          <w:rFonts w:ascii="Times New Roman" w:hAnsi="Times New Roman" w:cs="Times New Roman"/>
          <w:color w:val="auto"/>
          <w:sz w:val="24"/>
          <w:szCs w:val="24"/>
        </w:rPr>
        <w:t>2</w:t>
      </w:r>
      <w:r w:rsidR="004D0523">
        <w:rPr>
          <w:rStyle w:val="FontStyle34"/>
          <w:rFonts w:ascii="Times New Roman" w:hAnsi="Times New Roman" w:cs="Times New Roman"/>
          <w:color w:val="auto"/>
          <w:sz w:val="24"/>
          <w:szCs w:val="24"/>
        </w:rPr>
        <w:t>2</w:t>
      </w:r>
      <w:r w:rsidR="00FC6550">
        <w:rPr>
          <w:rStyle w:val="FontStyle34"/>
          <w:rFonts w:ascii="Times New Roman" w:hAnsi="Times New Roman" w:cs="Times New Roman"/>
          <w:color w:val="auto"/>
          <w:sz w:val="24"/>
          <w:szCs w:val="24"/>
        </w:rPr>
        <w:t>.</w:t>
      </w:r>
      <w:r w:rsidR="004D0523">
        <w:rPr>
          <w:rStyle w:val="FontStyle34"/>
          <w:rFonts w:ascii="Times New Roman" w:hAnsi="Times New Roman" w:cs="Times New Roman"/>
          <w:color w:val="auto"/>
          <w:sz w:val="24"/>
          <w:szCs w:val="24"/>
        </w:rPr>
        <w:t>10</w:t>
      </w:r>
      <w:r w:rsidRPr="008420C4">
        <w:rPr>
          <w:rStyle w:val="FontStyle34"/>
          <w:rFonts w:ascii="Times New Roman" w:hAnsi="Times New Roman" w:cs="Times New Roman"/>
          <w:color w:val="auto"/>
          <w:sz w:val="24"/>
          <w:szCs w:val="24"/>
        </w:rPr>
        <w:t>.2015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lastRenderedPageBreak/>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w:t>
      </w:r>
      <w:r w:rsidR="00FC6550">
        <w:rPr>
          <w:rStyle w:val="FontStyle34"/>
          <w:rFonts w:ascii="Times New Roman" w:hAnsi="Times New Roman" w:cs="Times New Roman"/>
          <w:sz w:val="24"/>
          <w:szCs w:val="24"/>
        </w:rPr>
        <w:t>15</w:t>
      </w:r>
      <w:r w:rsidRPr="008420C4">
        <w:rPr>
          <w:rStyle w:val="FontStyle34"/>
          <w:rFonts w:ascii="Times New Roman" w:hAnsi="Times New Roman" w:cs="Times New Roman"/>
          <w:sz w:val="24"/>
          <w:szCs w:val="24"/>
        </w:rPr>
        <w:t xml:space="preserve"> dnia  </w:t>
      </w:r>
      <w:r w:rsidR="001308B8" w:rsidRPr="008420C4">
        <w:rPr>
          <w:rStyle w:val="FontStyle34"/>
          <w:rFonts w:ascii="Times New Roman" w:hAnsi="Times New Roman" w:cs="Times New Roman"/>
          <w:sz w:val="24"/>
          <w:szCs w:val="24"/>
        </w:rPr>
        <w:t>2</w:t>
      </w:r>
      <w:r w:rsidR="004D0523">
        <w:rPr>
          <w:rStyle w:val="FontStyle34"/>
          <w:rFonts w:ascii="Times New Roman" w:hAnsi="Times New Roman" w:cs="Times New Roman"/>
          <w:sz w:val="24"/>
          <w:szCs w:val="24"/>
        </w:rPr>
        <w:t>2</w:t>
      </w:r>
      <w:r w:rsidR="00FC6550">
        <w:rPr>
          <w:rStyle w:val="FontStyle34"/>
          <w:rFonts w:ascii="Times New Roman" w:hAnsi="Times New Roman" w:cs="Times New Roman"/>
          <w:sz w:val="24"/>
          <w:szCs w:val="24"/>
        </w:rPr>
        <w:t>.</w:t>
      </w:r>
      <w:r w:rsidR="004D0523">
        <w:rPr>
          <w:rStyle w:val="FontStyle34"/>
          <w:rFonts w:ascii="Times New Roman" w:hAnsi="Times New Roman" w:cs="Times New Roman"/>
          <w:sz w:val="24"/>
          <w:szCs w:val="24"/>
        </w:rPr>
        <w:t>10</w:t>
      </w:r>
      <w:r w:rsidRPr="008420C4">
        <w:rPr>
          <w:rStyle w:val="FontStyle34"/>
          <w:rFonts w:ascii="Times New Roman" w:hAnsi="Times New Roman" w:cs="Times New Roman"/>
          <w:color w:val="auto"/>
          <w:sz w:val="24"/>
          <w:szCs w:val="24"/>
        </w:rPr>
        <w:t>.2015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lastRenderedPageBreak/>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w:t>
      </w:r>
      <w:r w:rsidR="00886FAF">
        <w:t>ę</w:t>
      </w:r>
      <w:r>
        <w:t xml:space="preserve">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 xml:space="preserve">W przypadku złożenia oferty, której wybór prowadziłby do powstania obowiązku podatkowego Zamawiającego zgodnie z przepisami o podatku od towarów i usług w zakresie dotyczącym wewnątrzwspólnotowego nabycia towarów, Zamawiający w celu </w:t>
      </w:r>
      <w:r w:rsidRPr="00C46110">
        <w:rPr>
          <w:noProof/>
        </w:rPr>
        <w:lastRenderedPageBreak/>
        <w:t>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4A41A9" w:rsidRDefault="00CD1410" w:rsidP="00CD1410">
      <w:pPr>
        <w:pStyle w:val="Style20"/>
        <w:widowControl/>
        <w:numPr>
          <w:ilvl w:val="3"/>
          <w:numId w:val="15"/>
        </w:numPr>
        <w:tabs>
          <w:tab w:val="left" w:pos="709"/>
        </w:tabs>
        <w:spacing w:before="60" w:after="60" w:line="276" w:lineRule="auto"/>
        <w:ind w:left="709" w:hanging="283"/>
        <w:rPr>
          <w:rFonts w:ascii="Times New Roman" w:hAnsi="Times New Roman" w:cs="Times New Roman"/>
          <w:bCs/>
          <w:iCs/>
          <w:color w:val="000000"/>
        </w:rPr>
      </w:pPr>
      <w:r>
        <w:rPr>
          <w:rStyle w:val="FontStyle34"/>
          <w:rFonts w:ascii="Times New Roman" w:hAnsi="Times New Roman" w:cs="Times New Roman"/>
          <w:b w:val="0"/>
          <w:sz w:val="24"/>
          <w:szCs w:val="24"/>
        </w:rPr>
        <w:t>.</w:t>
      </w:r>
      <w:r w:rsidR="00B55228" w:rsidRPr="004A41A9">
        <w:rPr>
          <w:rStyle w:val="FontStyle34"/>
          <w:rFonts w:ascii="Times New Roman" w:hAnsi="Times New Roman" w:cs="Times New Roman"/>
          <w:b w:val="0"/>
          <w:sz w:val="24"/>
          <w:szCs w:val="24"/>
        </w:rPr>
        <w:t xml:space="preserve">Jeżeli zostanie </w:t>
      </w:r>
      <w:bookmarkStart w:id="5" w:name="_GoBack"/>
      <w:bookmarkEnd w:id="5"/>
      <w:r w:rsidR="00B55228" w:rsidRPr="004A41A9">
        <w:rPr>
          <w:rStyle w:val="FontStyle34"/>
          <w:rFonts w:ascii="Times New Roman" w:hAnsi="Times New Roman" w:cs="Times New Roman"/>
          <w:b w:val="0"/>
          <w:sz w:val="24"/>
          <w:szCs w:val="24"/>
        </w:rPr>
        <w:t xml:space="preserve">wybrana oferta Wykonawców ubiegających się wspólnie </w:t>
      </w:r>
      <w:r w:rsidR="00B55228">
        <w:rPr>
          <w:rStyle w:val="FontStyle34"/>
          <w:rFonts w:ascii="Times New Roman" w:hAnsi="Times New Roman" w:cs="Times New Roman"/>
          <w:b w:val="0"/>
          <w:sz w:val="24"/>
          <w:szCs w:val="24"/>
        </w:rPr>
        <w:t xml:space="preserve">                           </w:t>
      </w:r>
      <w:r>
        <w:rPr>
          <w:rStyle w:val="FontStyle34"/>
          <w:rFonts w:ascii="Times New Roman" w:hAnsi="Times New Roman" w:cs="Times New Roman"/>
          <w:b w:val="0"/>
          <w:sz w:val="24"/>
          <w:szCs w:val="24"/>
        </w:rPr>
        <w:t xml:space="preserve">   </w:t>
      </w:r>
      <w:r w:rsidR="00B55228"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najkorzystniejszej oferty, jeżeli zawiadomienie to zostanie przes</w:t>
      </w:r>
      <w:r w:rsidR="00CD1410">
        <w:rPr>
          <w:rFonts w:ascii="Times New Roman" w:hAnsi="Times New Roman" w:cs="Times New Roman"/>
        </w:rPr>
        <w:t>ł</w:t>
      </w:r>
      <w:r w:rsidRPr="005B5DF0">
        <w:rPr>
          <w:rFonts w:ascii="Times New Roman" w:hAnsi="Times New Roman" w:cs="Times New Roman"/>
        </w:rPr>
        <w:t xml:space="preserve">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 xml:space="preserve">ROZDZIAŁ 16. Wzór umowy, wymaganej przez Zamawiającego do zawarcia                         </w:t>
      </w:r>
      <w:r w:rsidRPr="00586838">
        <w:rPr>
          <w:rStyle w:val="FontStyle33"/>
          <w:rFonts w:ascii="Times New Roman" w:hAnsi="Times New Roman" w:cs="Times New Roman"/>
          <w:sz w:val="24"/>
          <w:szCs w:val="24"/>
        </w:rPr>
        <w:lastRenderedPageBreak/>
        <w:t>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 xml:space="preserve">w uzyskaniu rozstrzygnięcia na korzyść strony, do której przystąpił; w przeciwnym razie Izba oddala opozycję. Postanowienie o uwzględnieniu albo oddaleniu opozycji Izba może </w:t>
      </w:r>
      <w:r w:rsidRPr="003D1784">
        <w:lastRenderedPageBreak/>
        <w:t>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lastRenderedPageBreak/>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 xml:space="preserve">12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93" w:rsidRDefault="00F62993" w:rsidP="00B55228">
      <w:r>
        <w:separator/>
      </w:r>
    </w:p>
  </w:endnote>
  <w:endnote w:type="continuationSeparator" w:id="0">
    <w:p w:rsidR="00F62993" w:rsidRDefault="00F62993"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EA0E7B" w:rsidRPr="00EA0E7B">
          <w:rPr>
            <w:rFonts w:asciiTheme="majorHAnsi" w:hAnsiTheme="majorHAnsi"/>
            <w:noProof/>
            <w:sz w:val="16"/>
            <w:szCs w:val="16"/>
          </w:rPr>
          <w:t>14</w:t>
        </w:r>
        <w:r w:rsidR="00C00862" w:rsidRPr="004E3CF9">
          <w:rPr>
            <w:sz w:val="16"/>
            <w:szCs w:val="16"/>
          </w:rPr>
          <w:fldChar w:fldCharType="end"/>
        </w:r>
      </w:p>
    </w:sdtContent>
  </w:sdt>
  <w:p w:rsidR="0012264B" w:rsidRPr="004E3CF9" w:rsidRDefault="00F62993">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93" w:rsidRDefault="00F62993" w:rsidP="00B55228">
      <w:r>
        <w:separator/>
      </w:r>
    </w:p>
  </w:footnote>
  <w:footnote w:type="continuationSeparator" w:id="0">
    <w:p w:rsidR="00F62993" w:rsidRDefault="00F62993"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E42DF1">
      <w:rPr>
        <w:sz w:val="20"/>
        <w:szCs w:val="20"/>
      </w:rPr>
      <w:t>7</w:t>
    </w:r>
    <w:r>
      <w:rPr>
        <w:sz w:val="20"/>
        <w:szCs w:val="20"/>
      </w:rPr>
      <w:t>.2015</w:t>
    </w:r>
  </w:p>
  <w:p w:rsidR="0012264B" w:rsidRDefault="00F629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3FA03DAA"/>
    <w:lvl w:ilvl="0">
      <w:start w:val="1"/>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90AA4774"/>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95E0482E">
      <w:start w:val="1"/>
      <w:numFmt w:val="decimal"/>
      <w:lvlText w:val="%4"/>
      <w:lvlJc w:val="left"/>
      <w:pPr>
        <w:ind w:left="2880" w:hanging="360"/>
      </w:pPr>
      <w:rPr>
        <w:rFonts w:hint="default"/>
        <w: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057436"/>
    <w:rsid w:val="000A0F99"/>
    <w:rsid w:val="000B5891"/>
    <w:rsid w:val="000E48F4"/>
    <w:rsid w:val="000E6FC3"/>
    <w:rsid w:val="0012511E"/>
    <w:rsid w:val="001308B8"/>
    <w:rsid w:val="00160052"/>
    <w:rsid w:val="001965D5"/>
    <w:rsid w:val="001E573F"/>
    <w:rsid w:val="002453AE"/>
    <w:rsid w:val="002759D8"/>
    <w:rsid w:val="00387091"/>
    <w:rsid w:val="003923E8"/>
    <w:rsid w:val="003B2EAB"/>
    <w:rsid w:val="003E0820"/>
    <w:rsid w:val="0041479F"/>
    <w:rsid w:val="004279D3"/>
    <w:rsid w:val="00466041"/>
    <w:rsid w:val="00497C4B"/>
    <w:rsid w:val="004D0523"/>
    <w:rsid w:val="004D52B5"/>
    <w:rsid w:val="004D6642"/>
    <w:rsid w:val="004E468C"/>
    <w:rsid w:val="00546F8E"/>
    <w:rsid w:val="00586838"/>
    <w:rsid w:val="005D7CE8"/>
    <w:rsid w:val="006B549C"/>
    <w:rsid w:val="006B59F3"/>
    <w:rsid w:val="00715E93"/>
    <w:rsid w:val="007A5F6A"/>
    <w:rsid w:val="008022C4"/>
    <w:rsid w:val="008219E6"/>
    <w:rsid w:val="008420C4"/>
    <w:rsid w:val="00855E12"/>
    <w:rsid w:val="00856DC5"/>
    <w:rsid w:val="00872408"/>
    <w:rsid w:val="00882572"/>
    <w:rsid w:val="00886FAF"/>
    <w:rsid w:val="008A1F5D"/>
    <w:rsid w:val="008F4299"/>
    <w:rsid w:val="00913E20"/>
    <w:rsid w:val="00A97D0F"/>
    <w:rsid w:val="00B31225"/>
    <w:rsid w:val="00B55228"/>
    <w:rsid w:val="00BB166E"/>
    <w:rsid w:val="00BC6FE1"/>
    <w:rsid w:val="00C00862"/>
    <w:rsid w:val="00C66EBE"/>
    <w:rsid w:val="00C73F00"/>
    <w:rsid w:val="00CA6D46"/>
    <w:rsid w:val="00CB5E2B"/>
    <w:rsid w:val="00CC02B7"/>
    <w:rsid w:val="00CD1410"/>
    <w:rsid w:val="00D2502A"/>
    <w:rsid w:val="00D418FC"/>
    <w:rsid w:val="00D57A3D"/>
    <w:rsid w:val="00D67BD4"/>
    <w:rsid w:val="00DC5815"/>
    <w:rsid w:val="00DF0702"/>
    <w:rsid w:val="00E14E8F"/>
    <w:rsid w:val="00E42DF1"/>
    <w:rsid w:val="00EA0E7B"/>
    <w:rsid w:val="00F62993"/>
    <w:rsid w:val="00FB3C6E"/>
    <w:rsid w:val="00FC6550"/>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p.czajkow-gmina.pl/wiadomosci/3/lista/przetargi" TargetMode="External"/><Relationship Id="rId4" Type="http://schemas.microsoft.com/office/2007/relationships/stylesWithEffects" Target="stylesWithEffects.xml"/><Relationship Id="rId9" Type="http://schemas.openxmlformats.org/officeDocument/2006/relationships/hyperlink" Target="http://www.czajkow-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87C5-8FCB-41EA-823A-246DCAA9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5452</Words>
  <Characters>32717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4</cp:revision>
  <cp:lastPrinted>2015-10-06T06:15:00Z</cp:lastPrinted>
  <dcterms:created xsi:type="dcterms:W3CDTF">2015-10-06T05:08:00Z</dcterms:created>
  <dcterms:modified xsi:type="dcterms:W3CDTF">2015-10-06T06:17:00Z</dcterms:modified>
</cp:coreProperties>
</file>