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40" w:rsidRPr="00081BC1" w:rsidRDefault="00A51E40" w:rsidP="005473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ZP.271.1.10.2021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21.04.2020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A51E40" w:rsidRPr="00081BC1" w:rsidRDefault="00A51E40" w:rsidP="00547395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51E40" w:rsidRPr="00081BC1" w:rsidRDefault="00A51E40" w:rsidP="005473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A51E40" w:rsidRPr="00081BC1" w:rsidRDefault="00A51E40" w:rsidP="005473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A51E40" w:rsidRDefault="00A51E40" w:rsidP="00547395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A51E40" w:rsidRPr="00081BC1" w:rsidRDefault="00A51E40" w:rsidP="00547395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A51E40" w:rsidRPr="00547395" w:rsidRDefault="00A51E40" w:rsidP="0054739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547395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547395">
        <w:rPr>
          <w:rFonts w:ascii="Times New Roman" w:hAnsi="Times New Roman"/>
          <w:sz w:val="24"/>
          <w:szCs w:val="24"/>
        </w:rPr>
        <w:t xml:space="preserve"> </w:t>
      </w:r>
      <w:r w:rsidRPr="00547395">
        <w:rPr>
          <w:rFonts w:ascii="Times New Roman" w:hAnsi="Times New Roman"/>
          <w:b/>
          <w:color w:val="000000"/>
          <w:sz w:val="24"/>
          <w:szCs w:val="24"/>
        </w:rPr>
        <w:t>Rozbudowa istniejącego budynku Gimnazjum w Końskich o halę widowiskową (etap III) wraz z niezbędną infrastrukturą techniczną w ramach zadania pn.:</w:t>
      </w:r>
      <w:bookmarkStart w:id="0" w:name="_Hlk66446413"/>
      <w:r w:rsidRPr="005473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47395">
        <w:rPr>
          <w:rFonts w:ascii="Times New Roman" w:hAnsi="Times New Roman"/>
          <w:b/>
          <w:i/>
          <w:iCs/>
          <w:color w:val="000000"/>
          <w:sz w:val="24"/>
          <w:szCs w:val="24"/>
        </w:rPr>
        <w:t>„Przebudowa i rozbudowa budynku Gimnazjum Nr 2 w Końskich na potrzeby Centrum Kultury (budowa hali widowiskowej oraz zmiana funkcjonalności budynku)</w:t>
      </w:r>
      <w:bookmarkEnd w:id="0"/>
      <w:r w:rsidRPr="00547395">
        <w:rPr>
          <w:rFonts w:ascii="Times New Roman" w:hAnsi="Times New Roman"/>
          <w:b/>
          <w:sz w:val="24"/>
          <w:szCs w:val="24"/>
          <w:lang w:eastAsia="ar-SA"/>
        </w:rPr>
        <w:t>”</w:t>
      </w:r>
    </w:p>
    <w:p w:rsidR="00A51E40" w:rsidRDefault="00A51E40" w:rsidP="00547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E40" w:rsidRPr="006F2C6F" w:rsidRDefault="00A51E40" w:rsidP="005473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Zamawiający na podstawie art. 284 ust. 6 ustawy z dnia 11 września 2019 r. Prawo zamówień publicznych (Dz. U. z 2019 r. poz. 2019 ze zm.) udziela odpowiedzi na zadane pytania:</w:t>
      </w:r>
    </w:p>
    <w:p w:rsidR="00A51E40" w:rsidRDefault="00A51E40" w:rsidP="0054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1E40" w:rsidRPr="00547395" w:rsidRDefault="00A51E40" w:rsidP="0054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7395">
        <w:rPr>
          <w:rFonts w:ascii="Times New Roman" w:hAnsi="Times New Roman"/>
          <w:b/>
          <w:sz w:val="24"/>
          <w:szCs w:val="24"/>
        </w:rPr>
        <w:t>Pytanie 1.</w:t>
      </w:r>
    </w:p>
    <w:p w:rsidR="00A51E40" w:rsidRDefault="00A51E40" w:rsidP="00035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7F8">
        <w:rPr>
          <w:rFonts w:ascii="Times New Roman" w:hAnsi="Times New Roman"/>
          <w:sz w:val="24"/>
          <w:szCs w:val="24"/>
        </w:rPr>
        <w:t xml:space="preserve">Brak rysunków, opisu, szczegółów dla “Konstrukcja kratownic przestrzennych sceny”, poz. 77 przedmiaru robót. Brak możliwości wyceny. Wnosimy o potwierdzenie, </w:t>
      </w:r>
      <w:r>
        <w:rPr>
          <w:rFonts w:ascii="Times New Roman" w:hAnsi="Times New Roman"/>
          <w:sz w:val="24"/>
          <w:szCs w:val="24"/>
        </w:rPr>
        <w:t>ż</w:t>
      </w:r>
      <w:r w:rsidRPr="00AB77F8">
        <w:rPr>
          <w:rFonts w:ascii="Times New Roman" w:hAnsi="Times New Roman"/>
          <w:sz w:val="24"/>
          <w:szCs w:val="24"/>
        </w:rPr>
        <w:t>e kratownica ta nie wchodzi w zakres przetargu.</w:t>
      </w:r>
    </w:p>
    <w:p w:rsidR="00A51E40" w:rsidRDefault="00A51E40" w:rsidP="00035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395">
        <w:rPr>
          <w:rFonts w:ascii="Times New Roman" w:hAnsi="Times New Roman"/>
          <w:b/>
          <w:sz w:val="24"/>
          <w:szCs w:val="24"/>
        </w:rPr>
        <w:t>Odp.</w:t>
      </w:r>
      <w:r w:rsidRPr="00547395">
        <w:rPr>
          <w:rFonts w:ascii="Times New Roman" w:hAnsi="Times New Roman"/>
          <w:sz w:val="24"/>
          <w:szCs w:val="24"/>
        </w:rPr>
        <w:t xml:space="preserve"> </w:t>
      </w:r>
    </w:p>
    <w:p w:rsidR="00A51E40" w:rsidRPr="00547395" w:rsidRDefault="00A51E40" w:rsidP="00035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Kratownica nie wchodzi w zakres przetargu.</w:t>
      </w:r>
    </w:p>
    <w:p w:rsidR="00A51E40" w:rsidRPr="00547395" w:rsidRDefault="00A51E40" w:rsidP="00035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E40" w:rsidRPr="00547395" w:rsidRDefault="00A51E40" w:rsidP="00035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7395">
        <w:rPr>
          <w:rFonts w:ascii="Times New Roman" w:hAnsi="Times New Roman"/>
          <w:b/>
          <w:sz w:val="24"/>
          <w:szCs w:val="24"/>
        </w:rPr>
        <w:t>Pytanie 2.</w:t>
      </w:r>
    </w:p>
    <w:p w:rsidR="00A51E40" w:rsidRPr="00547395" w:rsidRDefault="00A51E40" w:rsidP="0003588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7F8">
        <w:rPr>
          <w:rFonts w:ascii="Times New Roman" w:hAnsi="Times New Roman"/>
          <w:sz w:val="24"/>
          <w:szCs w:val="24"/>
        </w:rPr>
        <w:t>Wnosimy o potwierdzenie, że pokrycie dachu ma być wykonane z blachy tytan-cynk na rąbek lub z paneli stalowych na rąbek ocynkowanych i powlekanych gr.0,5mm.</w:t>
      </w:r>
    </w:p>
    <w:p w:rsidR="00A51E40" w:rsidRPr="00547395" w:rsidRDefault="00A51E40" w:rsidP="0003588D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7395">
        <w:rPr>
          <w:rFonts w:ascii="Times New Roman" w:hAnsi="Times New Roman"/>
          <w:b/>
          <w:bCs/>
          <w:sz w:val="24"/>
          <w:szCs w:val="24"/>
        </w:rPr>
        <w:t>Odp.</w:t>
      </w:r>
    </w:p>
    <w:p w:rsidR="00A51E40" w:rsidRPr="00547395" w:rsidRDefault="00A51E40" w:rsidP="0003588D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wykonawczy. Projekt zagospodarowania terenu (str. 14) oraz rys. A-PW-18 Dachy kryte blachą stalową ocynkowaną w kolorze sieny palonej, montowanej na rąbek stojący – grubość blachy min. </w:t>
      </w:r>
      <w:smartTag w:uri="urn:schemas-microsoft-com:office:smarttags" w:element="metricconverter">
        <w:smartTagPr>
          <w:attr w:name="ProductID" w:val="0,5 mm"/>
        </w:smartTagPr>
        <w:r>
          <w:rPr>
            <w:rFonts w:ascii="Times New Roman" w:hAnsi="Times New Roman"/>
            <w:bCs/>
            <w:sz w:val="24"/>
            <w:szCs w:val="24"/>
          </w:rPr>
          <w:t>0,5 mm</w:t>
        </w:r>
      </w:smartTag>
      <w:r>
        <w:rPr>
          <w:rFonts w:ascii="Times New Roman" w:hAnsi="Times New Roman"/>
          <w:bCs/>
          <w:sz w:val="24"/>
          <w:szCs w:val="24"/>
        </w:rPr>
        <w:t xml:space="preserve">, wysokość rąbka </w:t>
      </w:r>
      <w:smartTag w:uri="urn:schemas-microsoft-com:office:smarttags" w:element="metricconverter">
        <w:smartTagPr>
          <w:attr w:name="ProductID" w:val="32 mm"/>
        </w:smartTagPr>
        <w:r>
          <w:rPr>
            <w:rFonts w:ascii="Times New Roman" w:hAnsi="Times New Roman"/>
            <w:bCs/>
            <w:sz w:val="24"/>
            <w:szCs w:val="24"/>
          </w:rPr>
          <w:t>32 mm</w:t>
        </w:r>
      </w:smartTag>
      <w:r>
        <w:rPr>
          <w:rFonts w:ascii="Times New Roman" w:hAnsi="Times New Roman"/>
          <w:bCs/>
          <w:sz w:val="24"/>
          <w:szCs w:val="24"/>
        </w:rPr>
        <w:t>, minimalna ilość cynku 275g/m</w:t>
      </w:r>
      <w:r w:rsidRPr="00591B25"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</w:rPr>
        <w:t>. Na przekrojach określono: „blacha o powierzchni matowej kolor sjena palona”. Ostatecznie kolor należy uzgodnić z Zamawiającym.</w:t>
      </w:r>
    </w:p>
    <w:p w:rsidR="00A51E40" w:rsidRPr="00547395" w:rsidRDefault="00A51E40" w:rsidP="0003588D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1E40" w:rsidRPr="00547395" w:rsidRDefault="00A51E40" w:rsidP="0003588D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7395">
        <w:rPr>
          <w:rFonts w:ascii="Times New Roman" w:hAnsi="Times New Roman"/>
          <w:b/>
          <w:bCs/>
          <w:sz w:val="24"/>
          <w:szCs w:val="24"/>
        </w:rPr>
        <w:t>Pytanie 3.</w:t>
      </w:r>
    </w:p>
    <w:p w:rsidR="00A51E40" w:rsidRDefault="00A51E40" w:rsidP="00035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7F8">
        <w:rPr>
          <w:rFonts w:ascii="Times New Roman" w:hAnsi="Times New Roman"/>
          <w:sz w:val="24"/>
          <w:szCs w:val="24"/>
        </w:rPr>
        <w:t>Wnosimy o potwierdzenie, że obróbki blacharski</w:t>
      </w:r>
      <w:r>
        <w:rPr>
          <w:rFonts w:ascii="Times New Roman" w:hAnsi="Times New Roman"/>
          <w:sz w:val="24"/>
          <w:szCs w:val="24"/>
        </w:rPr>
        <w:t>e</w:t>
      </w:r>
      <w:r w:rsidRPr="00AB77F8">
        <w:rPr>
          <w:rFonts w:ascii="Times New Roman" w:hAnsi="Times New Roman"/>
          <w:sz w:val="24"/>
          <w:szCs w:val="24"/>
        </w:rPr>
        <w:t xml:space="preserve"> oraz orynnowanie ma być wykonane z blachy tytan-cynk lub z blachy stalowej ocynkowanej i powlekanej.</w:t>
      </w:r>
    </w:p>
    <w:p w:rsidR="00A51E40" w:rsidRPr="00547395" w:rsidRDefault="00A51E40" w:rsidP="00035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7395">
        <w:rPr>
          <w:rFonts w:ascii="Times New Roman" w:hAnsi="Times New Roman"/>
          <w:b/>
          <w:sz w:val="24"/>
          <w:szCs w:val="24"/>
        </w:rPr>
        <w:t>Odp.</w:t>
      </w:r>
    </w:p>
    <w:p w:rsidR="00A51E40" w:rsidRPr="00B9425C" w:rsidRDefault="00A51E40" w:rsidP="0003588D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Obróbki blacharskie oraz orynnowanie z blachy stalowej ocynkowanej powlekanej </w:t>
      </w:r>
      <w:r w:rsidRPr="00B9425C">
        <w:rPr>
          <w:rFonts w:ascii="Times New Roman" w:eastAsia="TimesNewRomanPSMT" w:hAnsi="Times New Roman"/>
          <w:sz w:val="24"/>
          <w:szCs w:val="24"/>
          <w:lang w:eastAsia="pl-PL"/>
        </w:rPr>
        <w:t>jasne - RAL 9006</w:t>
      </w:r>
      <w:r w:rsidRPr="00B9425C">
        <w:rPr>
          <w:rFonts w:ascii="Times New Roman" w:hAnsi="Times New Roman"/>
          <w:bCs/>
          <w:sz w:val="24"/>
          <w:szCs w:val="24"/>
        </w:rPr>
        <w:t xml:space="preserve">. </w:t>
      </w:r>
    </w:p>
    <w:p w:rsidR="00A51E40" w:rsidRPr="0003588D" w:rsidRDefault="00A51E40" w:rsidP="000358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51E40" w:rsidRPr="00547395" w:rsidRDefault="00A51E40" w:rsidP="00035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7395">
        <w:rPr>
          <w:rFonts w:ascii="Times New Roman" w:hAnsi="Times New Roman"/>
          <w:b/>
          <w:sz w:val="24"/>
          <w:szCs w:val="24"/>
        </w:rPr>
        <w:t>Pytanie 4.</w:t>
      </w:r>
    </w:p>
    <w:p w:rsidR="00A51E40" w:rsidRPr="00547395" w:rsidRDefault="00A51E40" w:rsidP="00035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7F8">
        <w:rPr>
          <w:rFonts w:ascii="Times New Roman" w:hAnsi="Times New Roman"/>
          <w:sz w:val="24"/>
          <w:szCs w:val="24"/>
        </w:rPr>
        <w:t xml:space="preserve">Z uwagi na brak w dokumentacji projektowej informacji, wnosimy o dosłanie specyfikacji technicznej dla podnośnika windowego na wys. </w:t>
      </w:r>
      <w:smartTag w:uri="urn:schemas-microsoft-com:office:smarttags" w:element="metricconverter">
        <w:smartTagPr>
          <w:attr w:name="ProductID" w:val="120 cm"/>
        </w:smartTagPr>
        <w:r w:rsidRPr="00AB77F8">
          <w:rPr>
            <w:rFonts w:ascii="Times New Roman" w:hAnsi="Times New Roman"/>
            <w:sz w:val="24"/>
            <w:szCs w:val="24"/>
          </w:rPr>
          <w:t>120 cm</w:t>
        </w:r>
      </w:smartTag>
      <w:r w:rsidRPr="00AB77F8">
        <w:rPr>
          <w:rFonts w:ascii="Times New Roman" w:hAnsi="Times New Roman"/>
          <w:sz w:val="24"/>
          <w:szCs w:val="24"/>
        </w:rPr>
        <w:t xml:space="preserve"> oraz windy osobowej w holu.</w:t>
      </w:r>
    </w:p>
    <w:p w:rsidR="00A51E40" w:rsidRDefault="00A51E40" w:rsidP="00035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7395">
        <w:rPr>
          <w:rFonts w:ascii="Times New Roman" w:hAnsi="Times New Roman"/>
          <w:b/>
          <w:sz w:val="24"/>
          <w:szCs w:val="24"/>
        </w:rPr>
        <w:t>Odp.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51E40" w:rsidRPr="000F472B" w:rsidRDefault="00A51E40" w:rsidP="000358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472B">
        <w:rPr>
          <w:rFonts w:ascii="Times New Roman" w:hAnsi="Times New Roman"/>
          <w:bCs/>
          <w:sz w:val="24"/>
          <w:szCs w:val="24"/>
        </w:rPr>
        <w:t>W zał</w:t>
      </w:r>
      <w:r>
        <w:rPr>
          <w:rFonts w:ascii="Times New Roman" w:hAnsi="Times New Roman"/>
          <w:bCs/>
          <w:sz w:val="24"/>
          <w:szCs w:val="24"/>
        </w:rPr>
        <w:t>ą</w:t>
      </w:r>
      <w:r w:rsidRPr="000F472B">
        <w:rPr>
          <w:rFonts w:ascii="Times New Roman" w:hAnsi="Times New Roman"/>
          <w:bCs/>
          <w:sz w:val="24"/>
          <w:szCs w:val="24"/>
        </w:rPr>
        <w:t>czeniu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51E40" w:rsidRDefault="00A51E40" w:rsidP="00035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1E40" w:rsidRPr="00547395" w:rsidRDefault="00A51E40" w:rsidP="00035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7395">
        <w:rPr>
          <w:rFonts w:ascii="Times New Roman" w:hAnsi="Times New Roman"/>
          <w:b/>
          <w:sz w:val="24"/>
          <w:szCs w:val="24"/>
        </w:rPr>
        <w:t>Pytanie 5.</w:t>
      </w:r>
    </w:p>
    <w:p w:rsidR="00A51E40" w:rsidRDefault="00A51E40" w:rsidP="00035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7F8">
        <w:rPr>
          <w:rFonts w:ascii="Times New Roman" w:hAnsi="Times New Roman"/>
          <w:sz w:val="24"/>
          <w:szCs w:val="24"/>
        </w:rPr>
        <w:t>Z uwagi na brak w dokumentacji projektowej informacji, wnosimy o dosłanie specyfikacji technicznej dla wykładzin posadzkowych : pcv i dywanowych.</w:t>
      </w:r>
    </w:p>
    <w:p w:rsidR="00A51E40" w:rsidRDefault="00A51E40" w:rsidP="00035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7395">
        <w:rPr>
          <w:rFonts w:ascii="Times New Roman" w:hAnsi="Times New Roman"/>
          <w:b/>
          <w:sz w:val="24"/>
          <w:szCs w:val="24"/>
        </w:rPr>
        <w:t>Odp.</w:t>
      </w:r>
    </w:p>
    <w:p w:rsidR="00A51E40" w:rsidRPr="00BE1557" w:rsidRDefault="00A51E40" w:rsidP="00035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1557">
        <w:rPr>
          <w:rFonts w:ascii="Times New Roman" w:hAnsi="Times New Roman"/>
          <w:sz w:val="24"/>
          <w:szCs w:val="24"/>
        </w:rPr>
        <w:t>Wykładzina PCV:</w:t>
      </w:r>
    </w:p>
    <w:p w:rsidR="00A51E40" w:rsidRPr="00BE1557" w:rsidRDefault="00A51E40" w:rsidP="0003588D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BE1557">
        <w:rPr>
          <w:rFonts w:ascii="Times New Roman" w:hAnsi="Times New Roman"/>
          <w:sz w:val="24"/>
          <w:szCs w:val="24"/>
        </w:rPr>
        <w:t>Wykładziny obiektowe heterogeniczne akustyczne o wysokiej odporności na duże natężenie ruchu - warstwa ścieralna &gt; 1</w:t>
      </w:r>
    </w:p>
    <w:p w:rsidR="00A51E40" w:rsidRPr="00BE1557" w:rsidRDefault="00A51E40" w:rsidP="0003588D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BE1557">
        <w:rPr>
          <w:rFonts w:ascii="Times New Roman" w:hAnsi="Times New Roman"/>
          <w:sz w:val="24"/>
          <w:szCs w:val="24"/>
        </w:rPr>
        <w:t>mm czystego pcv barwionego w masie, bez wypełniaczy, grubość całkowita 3,3mm. Akustyka – 16dB.  Odporność na</w:t>
      </w:r>
    </w:p>
    <w:p w:rsidR="00A51E40" w:rsidRPr="00BE1557" w:rsidRDefault="00A51E40" w:rsidP="0003588D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BE1557">
        <w:rPr>
          <w:rFonts w:ascii="Times New Roman" w:hAnsi="Times New Roman"/>
          <w:sz w:val="24"/>
          <w:szCs w:val="24"/>
        </w:rPr>
        <w:t>wgniecenia (0,06mm) - podwójna siatka z włókna szklanego + spód z pianki VHD, grupa ścieralności T, antypoślizgowość</w:t>
      </w:r>
    </w:p>
    <w:p w:rsidR="00A51E40" w:rsidRPr="00BE1557" w:rsidRDefault="00A51E40" w:rsidP="0003588D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BE1557">
        <w:rPr>
          <w:rFonts w:ascii="Times New Roman" w:hAnsi="Times New Roman"/>
          <w:sz w:val="24"/>
          <w:szCs w:val="24"/>
        </w:rPr>
        <w:t>R10. Zabezpieczenie powierzchniowe pozwalające na utrzymanie bez polerowania przez cały cykl życia produktu. Wzór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557">
        <w:rPr>
          <w:rFonts w:ascii="Times New Roman" w:hAnsi="Times New Roman"/>
          <w:sz w:val="24"/>
          <w:szCs w:val="24"/>
        </w:rPr>
        <w:t>rozproszony poprzez całą grubość warstwy użytkowej.</w:t>
      </w:r>
    </w:p>
    <w:p w:rsidR="00A51E40" w:rsidRPr="00BE1557" w:rsidRDefault="00A51E40" w:rsidP="0003588D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E40" w:rsidRPr="00BE1557" w:rsidRDefault="00A51E40" w:rsidP="0003588D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BE1557">
        <w:rPr>
          <w:rFonts w:ascii="Times New Roman" w:hAnsi="Times New Roman"/>
          <w:sz w:val="24"/>
          <w:szCs w:val="24"/>
        </w:rPr>
        <w:t>Wykładzina dywanowa:</w:t>
      </w:r>
    </w:p>
    <w:p w:rsidR="00A51E40" w:rsidRPr="00BE1557" w:rsidRDefault="00A51E40" w:rsidP="0003588D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BE1557">
        <w:rPr>
          <w:rFonts w:ascii="Times New Roman" w:hAnsi="Times New Roman"/>
          <w:sz w:val="24"/>
          <w:szCs w:val="24"/>
        </w:rPr>
        <w:t>kolor grafitowy</w:t>
      </w:r>
    </w:p>
    <w:p w:rsidR="00A51E40" w:rsidRPr="00BE1557" w:rsidRDefault="00A51E40" w:rsidP="0003588D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BE1557">
        <w:rPr>
          <w:rFonts w:ascii="Times New Roman" w:hAnsi="Times New Roman"/>
          <w:sz w:val="24"/>
          <w:szCs w:val="24"/>
        </w:rPr>
        <w:t>poliamid 6.6.</w:t>
      </w:r>
    </w:p>
    <w:p w:rsidR="00A51E40" w:rsidRPr="00BE1557" w:rsidRDefault="00A51E40" w:rsidP="0003588D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BE1557">
        <w:rPr>
          <w:rFonts w:ascii="Times New Roman" w:hAnsi="Times New Roman"/>
          <w:sz w:val="24"/>
          <w:szCs w:val="24"/>
        </w:rPr>
        <w:t xml:space="preserve">gramatura min. </w:t>
      </w:r>
      <w:smartTag w:uri="urn:schemas-microsoft-com:office:smarttags" w:element="metricconverter">
        <w:smartTagPr>
          <w:attr w:name="ProductID" w:val="1000 g"/>
        </w:smartTagPr>
        <w:r w:rsidRPr="00BE1557">
          <w:rPr>
            <w:rFonts w:ascii="Times New Roman" w:hAnsi="Times New Roman"/>
            <w:sz w:val="24"/>
            <w:szCs w:val="24"/>
          </w:rPr>
          <w:t>1000 g</w:t>
        </w:r>
      </w:smartTag>
      <w:r w:rsidRPr="00BE1557">
        <w:rPr>
          <w:rFonts w:ascii="Times New Roman" w:hAnsi="Times New Roman"/>
          <w:sz w:val="24"/>
          <w:szCs w:val="24"/>
        </w:rPr>
        <w:t xml:space="preserve"> / m2</w:t>
      </w:r>
    </w:p>
    <w:p w:rsidR="00A51E40" w:rsidRPr="00BE1557" w:rsidRDefault="00A51E40" w:rsidP="0003588D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BE1557">
        <w:rPr>
          <w:rFonts w:ascii="Times New Roman" w:hAnsi="Times New Roman"/>
          <w:sz w:val="24"/>
          <w:szCs w:val="24"/>
        </w:rPr>
        <w:t>klasyfikacja palności Bfl-S1</w:t>
      </w:r>
    </w:p>
    <w:p w:rsidR="00A51E40" w:rsidRPr="00BE1557" w:rsidRDefault="00A51E40" w:rsidP="0003588D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BE1557">
        <w:rPr>
          <w:rFonts w:ascii="Times New Roman" w:hAnsi="Times New Roman"/>
          <w:sz w:val="24"/>
          <w:szCs w:val="24"/>
        </w:rPr>
        <w:t>klasyfikacja użytkowa 33</w:t>
      </w:r>
    </w:p>
    <w:p w:rsidR="00A51E40" w:rsidRPr="00BE1557" w:rsidRDefault="00A51E40" w:rsidP="0003588D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BE1557">
        <w:rPr>
          <w:rFonts w:ascii="Times New Roman" w:hAnsi="Times New Roman"/>
          <w:sz w:val="24"/>
          <w:szCs w:val="24"/>
        </w:rPr>
        <w:t>gęstość tkania - min. 200 000 / m2</w:t>
      </w:r>
    </w:p>
    <w:p w:rsidR="00A51E40" w:rsidRDefault="00A51E40" w:rsidP="0003588D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BE1557">
        <w:rPr>
          <w:rFonts w:ascii="Times New Roman" w:hAnsi="Times New Roman"/>
          <w:sz w:val="24"/>
          <w:szCs w:val="24"/>
        </w:rPr>
        <w:t xml:space="preserve">wysokość całkowita - min. </w:t>
      </w:r>
      <w:smartTag w:uri="urn:schemas-microsoft-com:office:smarttags" w:element="metricconverter">
        <w:smartTagPr>
          <w:attr w:name="ProductID" w:val="8,5 mm"/>
        </w:smartTagPr>
        <w:r w:rsidRPr="00BE1557">
          <w:rPr>
            <w:rFonts w:ascii="Times New Roman" w:hAnsi="Times New Roman"/>
            <w:sz w:val="24"/>
            <w:szCs w:val="24"/>
          </w:rPr>
          <w:t>8,5 mm</w:t>
        </w:r>
      </w:smartTag>
    </w:p>
    <w:p w:rsidR="00A51E40" w:rsidRDefault="00A51E40" w:rsidP="0003588D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E40" w:rsidRDefault="00A51E40" w:rsidP="00035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E40" w:rsidRDefault="00A51E40" w:rsidP="005473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amawiający na podstawie art. 286 ust. 1 </w:t>
      </w:r>
      <w:r w:rsidRPr="006F2C6F">
        <w:rPr>
          <w:rFonts w:ascii="Times New Roman" w:hAnsi="Times New Roman"/>
          <w:sz w:val="24"/>
          <w:szCs w:val="24"/>
        </w:rPr>
        <w:t>ustawy z dnia 11 września 2019 r. Prawo zamówień publicznych (Dz. U. z 2019 r. poz. 2019 ze zm.)</w:t>
      </w:r>
      <w:r>
        <w:rPr>
          <w:rFonts w:ascii="Times New Roman" w:hAnsi="Times New Roman"/>
          <w:sz w:val="24"/>
          <w:szCs w:val="24"/>
        </w:rPr>
        <w:t xml:space="preserve"> wprowadza modyfikację treści SWZ  - TOM II WZÓR UMOWY</w:t>
      </w:r>
    </w:p>
    <w:p w:rsidR="00A51E40" w:rsidRDefault="00A51E40" w:rsidP="00547395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1E40" w:rsidRPr="00547395" w:rsidRDefault="00A51E40" w:rsidP="0003588D">
      <w:pPr>
        <w:pStyle w:val="listparagraphcxspdrugie"/>
        <w:spacing w:before="0" w:beforeAutospacing="0" w:after="0" w:afterAutospacing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modyfikuje §6 ust. 5</w:t>
      </w:r>
      <w:r w:rsidRPr="00547395">
        <w:rPr>
          <w:rFonts w:ascii="Times New Roman" w:hAnsi="Times New Roman"/>
          <w:sz w:val="24"/>
          <w:szCs w:val="24"/>
        </w:rPr>
        <w:t xml:space="preserve"> wzoru umowy w następujący sposób:</w:t>
      </w:r>
    </w:p>
    <w:p w:rsidR="00A51E40" w:rsidRDefault="00A51E40" w:rsidP="0003588D">
      <w:pPr>
        <w:pStyle w:val="listparagraphcxspdrugie"/>
        <w:spacing w:before="0" w:beforeAutospacing="0" w:after="0" w:afterAutospacing="0" w:line="240" w:lineRule="auto"/>
        <w:ind w:left="284" w:hanging="295"/>
        <w:jc w:val="both"/>
        <w:rPr>
          <w:rFonts w:ascii="Times New Roman" w:hAnsi="Times New Roman"/>
          <w:b/>
          <w:sz w:val="24"/>
          <w:szCs w:val="24"/>
        </w:rPr>
      </w:pPr>
      <w:r w:rsidRPr="00547395">
        <w:rPr>
          <w:rFonts w:ascii="Times New Roman" w:hAnsi="Times New Roman"/>
          <w:b/>
          <w:sz w:val="24"/>
          <w:szCs w:val="24"/>
        </w:rPr>
        <w:t>zamiast zapisu:</w:t>
      </w:r>
    </w:p>
    <w:p w:rsidR="00A51E40" w:rsidRDefault="00A51E40" w:rsidP="0003588D">
      <w:pPr>
        <w:pStyle w:val="Akapitzlist"/>
        <w:tabs>
          <w:tab w:val="left" w:pos="284"/>
          <w:tab w:val="left" w:pos="9072"/>
          <w:tab w:val="left" w:pos="9214"/>
        </w:tabs>
        <w:suppressAutoHyphens w:val="0"/>
        <w:ind w:left="0"/>
        <w:jc w:val="both"/>
        <w:rPr>
          <w:rFonts w:cs="Times New Roman"/>
          <w:sz w:val="24"/>
          <w:szCs w:val="24"/>
        </w:rPr>
      </w:pPr>
      <w:r w:rsidRPr="00A15EA7">
        <w:rPr>
          <w:rFonts w:cs="Times New Roman"/>
          <w:sz w:val="24"/>
          <w:szCs w:val="24"/>
        </w:rPr>
        <w:t>Dopuszcza się możliwość zapłaty za wykonane i odebrane części przedmiotu umowy zgodnie z harmonogramem rzeczowo – finansowym, jednak nie więcej niż trzy faktury częściowe, przy czym łączna wartość płatności częściowych nie może przekroczyć 70 % wartości przedmiotu umowy.</w:t>
      </w:r>
      <w:r>
        <w:rPr>
          <w:rFonts w:cs="Times New Roman"/>
          <w:sz w:val="24"/>
          <w:szCs w:val="24"/>
        </w:rPr>
        <w:t xml:space="preserve"> Płatność w 2021r. do kwoty 4 000 000,00 zł brutto.</w:t>
      </w:r>
    </w:p>
    <w:p w:rsidR="00A51E40" w:rsidRPr="00547395" w:rsidRDefault="00A51E40" w:rsidP="0003588D">
      <w:pPr>
        <w:pStyle w:val="listparagraphcxspdrugie"/>
        <w:spacing w:before="0" w:beforeAutospacing="0" w:after="0" w:afterAutospacing="0" w:line="240" w:lineRule="auto"/>
        <w:ind w:left="284" w:hanging="295"/>
        <w:jc w:val="both"/>
        <w:rPr>
          <w:rFonts w:ascii="Times New Roman" w:hAnsi="Times New Roman"/>
          <w:b/>
          <w:sz w:val="24"/>
          <w:szCs w:val="24"/>
        </w:rPr>
      </w:pPr>
    </w:p>
    <w:p w:rsidR="00A51E40" w:rsidRPr="00547395" w:rsidRDefault="00A51E40" w:rsidP="0003588D">
      <w:pPr>
        <w:pStyle w:val="listparagraphcxspdrugie"/>
        <w:spacing w:before="0" w:beforeAutospacing="0" w:after="0" w:afterAutospacing="0" w:line="240" w:lineRule="auto"/>
        <w:ind w:left="284" w:hanging="295"/>
        <w:jc w:val="both"/>
        <w:rPr>
          <w:rFonts w:ascii="Times New Roman" w:hAnsi="Times New Roman"/>
          <w:b/>
          <w:sz w:val="24"/>
          <w:szCs w:val="24"/>
        </w:rPr>
      </w:pPr>
      <w:r w:rsidRPr="00547395">
        <w:rPr>
          <w:rFonts w:ascii="Times New Roman" w:hAnsi="Times New Roman"/>
          <w:b/>
          <w:sz w:val="24"/>
          <w:szCs w:val="24"/>
        </w:rPr>
        <w:t>wprowadza się zapis:</w:t>
      </w:r>
    </w:p>
    <w:p w:rsidR="00A51E40" w:rsidRPr="00547395" w:rsidRDefault="00A51E40" w:rsidP="00547395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C32AE0">
        <w:rPr>
          <w:rFonts w:ascii="Times New Roman" w:hAnsi="Times New Roman"/>
          <w:sz w:val="24"/>
          <w:szCs w:val="24"/>
        </w:rPr>
        <w:t xml:space="preserve">Dopuszcza się możliwość zapłaty za wykonane i odebrane części przedmiotu umowy zgodnie z harmonogramem rzeczowo – finansowym, jednak nie więcej niż </w:t>
      </w:r>
      <w:r w:rsidRPr="00C32AE0">
        <w:rPr>
          <w:rFonts w:ascii="Times New Roman" w:hAnsi="Times New Roman"/>
          <w:b/>
          <w:bCs/>
          <w:sz w:val="24"/>
          <w:szCs w:val="24"/>
        </w:rPr>
        <w:t>7 faktur częściowych</w:t>
      </w:r>
      <w:r w:rsidRPr="00C32AE0">
        <w:rPr>
          <w:rFonts w:ascii="Times New Roman" w:hAnsi="Times New Roman"/>
          <w:sz w:val="24"/>
          <w:szCs w:val="24"/>
        </w:rPr>
        <w:t xml:space="preserve">, przy czym łączna wartość płatności częściowych nie może przekroczyć </w:t>
      </w:r>
      <w:r w:rsidRPr="00C32AE0">
        <w:rPr>
          <w:rFonts w:ascii="Times New Roman" w:hAnsi="Times New Roman"/>
          <w:b/>
          <w:bCs/>
          <w:sz w:val="24"/>
          <w:szCs w:val="24"/>
        </w:rPr>
        <w:t>70 %</w:t>
      </w:r>
      <w:r w:rsidRPr="00C32AE0">
        <w:rPr>
          <w:rFonts w:ascii="Times New Roman" w:hAnsi="Times New Roman"/>
          <w:sz w:val="24"/>
          <w:szCs w:val="24"/>
        </w:rPr>
        <w:t xml:space="preserve"> wartości przedmiotu umowy. Płatność w </w:t>
      </w:r>
      <w:r w:rsidRPr="00C32AE0">
        <w:rPr>
          <w:rFonts w:ascii="Times New Roman" w:hAnsi="Times New Roman"/>
          <w:b/>
          <w:bCs/>
          <w:sz w:val="24"/>
          <w:szCs w:val="24"/>
        </w:rPr>
        <w:t>2021r. do kwoty 4 000 000,00 zł brutto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sectPr w:rsidR="00A51E40" w:rsidRPr="00547395" w:rsidSect="001D674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bCs/>
        <w:sz w:val="24"/>
        <w:szCs w:val="24"/>
      </w:r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CB79EA"/>
    <w:multiLevelType w:val="hybridMultilevel"/>
    <w:tmpl w:val="549C5E06"/>
    <w:lvl w:ilvl="0" w:tplc="88AA7D82">
      <w:start w:val="13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3">
    <w:nsid w:val="3AF45946"/>
    <w:multiLevelType w:val="hybridMultilevel"/>
    <w:tmpl w:val="4EC8BC52"/>
    <w:lvl w:ilvl="0" w:tplc="2B420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B33E79"/>
    <w:multiLevelType w:val="hybridMultilevel"/>
    <w:tmpl w:val="D7C40C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135AC1"/>
    <w:multiLevelType w:val="hybridMultilevel"/>
    <w:tmpl w:val="687E46C2"/>
    <w:lvl w:ilvl="0" w:tplc="D9FADCC2">
      <w:start w:val="1"/>
      <w:numFmt w:val="decimal"/>
      <w:lvlText w:val="%1)"/>
      <w:lvlJc w:val="left"/>
      <w:pPr>
        <w:tabs>
          <w:tab w:val="num" w:pos="349"/>
        </w:tabs>
        <w:ind w:left="34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6">
    <w:nsid w:val="6F6004AC"/>
    <w:multiLevelType w:val="hybridMultilevel"/>
    <w:tmpl w:val="C464B5B6"/>
    <w:lvl w:ilvl="0" w:tplc="0415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05A"/>
    <w:rsid w:val="00002014"/>
    <w:rsid w:val="000069AC"/>
    <w:rsid w:val="00017E59"/>
    <w:rsid w:val="0003588D"/>
    <w:rsid w:val="0004489A"/>
    <w:rsid w:val="0006200F"/>
    <w:rsid w:val="00081BC1"/>
    <w:rsid w:val="000F472B"/>
    <w:rsid w:val="00106BE3"/>
    <w:rsid w:val="00173BBC"/>
    <w:rsid w:val="001D6741"/>
    <w:rsid w:val="002529EA"/>
    <w:rsid w:val="002C70D4"/>
    <w:rsid w:val="00301830"/>
    <w:rsid w:val="00355288"/>
    <w:rsid w:val="003834A8"/>
    <w:rsid w:val="004466D3"/>
    <w:rsid w:val="004D26EE"/>
    <w:rsid w:val="005226B3"/>
    <w:rsid w:val="00547395"/>
    <w:rsid w:val="00577D42"/>
    <w:rsid w:val="00590CAB"/>
    <w:rsid w:val="00591B25"/>
    <w:rsid w:val="00656698"/>
    <w:rsid w:val="00677F17"/>
    <w:rsid w:val="006F0EF4"/>
    <w:rsid w:val="006F2C6F"/>
    <w:rsid w:val="007022DB"/>
    <w:rsid w:val="00724F49"/>
    <w:rsid w:val="00733D42"/>
    <w:rsid w:val="0074405A"/>
    <w:rsid w:val="00761984"/>
    <w:rsid w:val="007C753C"/>
    <w:rsid w:val="007E0A2B"/>
    <w:rsid w:val="00822B76"/>
    <w:rsid w:val="0083657B"/>
    <w:rsid w:val="008A7E33"/>
    <w:rsid w:val="00973C9C"/>
    <w:rsid w:val="00A121BA"/>
    <w:rsid w:val="00A15EA7"/>
    <w:rsid w:val="00A21B0D"/>
    <w:rsid w:val="00A51E40"/>
    <w:rsid w:val="00A772AF"/>
    <w:rsid w:val="00AB77F8"/>
    <w:rsid w:val="00AC0937"/>
    <w:rsid w:val="00B168A5"/>
    <w:rsid w:val="00B9425C"/>
    <w:rsid w:val="00BA0AD8"/>
    <w:rsid w:val="00BE1557"/>
    <w:rsid w:val="00C32AE0"/>
    <w:rsid w:val="00C34D78"/>
    <w:rsid w:val="00C37D61"/>
    <w:rsid w:val="00C66F74"/>
    <w:rsid w:val="00CA3D2B"/>
    <w:rsid w:val="00CD7CDE"/>
    <w:rsid w:val="00D04502"/>
    <w:rsid w:val="00D6796B"/>
    <w:rsid w:val="00E653CA"/>
    <w:rsid w:val="00E86F4C"/>
    <w:rsid w:val="00F03652"/>
    <w:rsid w:val="00F54D0B"/>
    <w:rsid w:val="00FC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5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405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4405A"/>
    <w:pPr>
      <w:ind w:left="720"/>
      <w:contextualSpacing/>
    </w:pPr>
  </w:style>
  <w:style w:type="paragraph" w:styleId="NormalWeb">
    <w:name w:val="Normal (Web)"/>
    <w:basedOn w:val="Normal"/>
    <w:uiPriority w:val="99"/>
    <w:rsid w:val="000020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"/>
    <w:uiPriority w:val="99"/>
    <w:rsid w:val="00656698"/>
    <w:pPr>
      <w:spacing w:before="100" w:beforeAutospacing="1" w:after="100" w:afterAutospacing="1"/>
    </w:pPr>
  </w:style>
  <w:style w:type="paragraph" w:customStyle="1" w:styleId="listparagraphcxspdrugie">
    <w:name w:val="listparagraphcxspdrugie"/>
    <w:basedOn w:val="Normal"/>
    <w:uiPriority w:val="99"/>
    <w:rsid w:val="00656698"/>
    <w:pPr>
      <w:spacing w:before="100" w:beforeAutospacing="1" w:after="100" w:afterAutospacing="1"/>
    </w:pPr>
  </w:style>
  <w:style w:type="paragraph" w:customStyle="1" w:styleId="listparagraphcxspnazwisko">
    <w:name w:val="listparagraphcxspnazwisko"/>
    <w:basedOn w:val="Normal"/>
    <w:uiPriority w:val="99"/>
    <w:rsid w:val="0065669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E653CA"/>
    <w:pPr>
      <w:suppressAutoHyphens/>
      <w:spacing w:after="120" w:line="240" w:lineRule="auto"/>
      <w:ind w:left="283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0EF4"/>
    <w:rPr>
      <w:rFonts w:eastAsia="Times New Roman" w:cs="Times New Roman"/>
      <w:lang w:eastAsia="en-US"/>
    </w:rPr>
  </w:style>
  <w:style w:type="paragraph" w:customStyle="1" w:styleId="Zal-text">
    <w:name w:val="Zal-text"/>
    <w:basedOn w:val="Normal"/>
    <w:uiPriority w:val="99"/>
    <w:rsid w:val="0054739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Calibri" w:hAnsi="MyriadPro-Regular" w:cs="MyriadPro-Regular"/>
      <w:color w:val="000000"/>
      <w:lang w:eastAsia="pl-PL"/>
    </w:rPr>
  </w:style>
  <w:style w:type="paragraph" w:customStyle="1" w:styleId="Akapitzlist">
    <w:name w:val="Akapit z listą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"/>
    <w:link w:val="AkapitzlistZnak"/>
    <w:uiPriority w:val="99"/>
    <w:rsid w:val="0003588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99"/>
    <w:locked/>
    <w:rsid w:val="0003588D"/>
    <w:rPr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5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421</TotalTime>
  <Pages>2</Pages>
  <Words>548</Words>
  <Characters>3293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Zbróg</dc:creator>
  <cp:keywords/>
  <dc:description/>
  <cp:lastModifiedBy>Dorota Sęga</cp:lastModifiedBy>
  <cp:revision>18</cp:revision>
  <cp:lastPrinted>2021-04-20T12:18:00Z</cp:lastPrinted>
  <dcterms:created xsi:type="dcterms:W3CDTF">2021-04-14T08:27:00Z</dcterms:created>
  <dcterms:modified xsi:type="dcterms:W3CDTF">2021-04-20T12:19:00Z</dcterms:modified>
</cp:coreProperties>
</file>