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AD" w:rsidRPr="009818FB" w:rsidRDefault="00FC6321" w:rsidP="00081BC1">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ZP.271.1.36</w:t>
      </w:r>
      <w:r w:rsidR="00844B86">
        <w:rPr>
          <w:rFonts w:ascii="Times New Roman" w:hAnsi="Times New Roman"/>
          <w:sz w:val="24"/>
          <w:szCs w:val="24"/>
          <w:lang w:eastAsia="pl-PL"/>
        </w:rPr>
        <w:t>.2020.EP</w:t>
      </w:r>
      <w:r w:rsidR="008F12AD" w:rsidRPr="009818FB">
        <w:rPr>
          <w:rFonts w:ascii="Times New Roman" w:hAnsi="Times New Roman"/>
          <w:sz w:val="24"/>
          <w:szCs w:val="24"/>
          <w:lang w:eastAsia="pl-PL"/>
        </w:rPr>
        <w:t xml:space="preserve">                                                    </w:t>
      </w:r>
      <w:r w:rsidR="008F12AD">
        <w:rPr>
          <w:rFonts w:ascii="Times New Roman" w:hAnsi="Times New Roman"/>
          <w:sz w:val="24"/>
          <w:szCs w:val="24"/>
          <w:lang w:eastAsia="pl-PL"/>
        </w:rPr>
        <w:t xml:space="preserve">   </w:t>
      </w:r>
      <w:r w:rsidR="00F4781C">
        <w:rPr>
          <w:rFonts w:ascii="Times New Roman" w:hAnsi="Times New Roman"/>
          <w:sz w:val="24"/>
          <w:szCs w:val="24"/>
          <w:lang w:eastAsia="pl-PL"/>
        </w:rPr>
        <w:t xml:space="preserve">  </w:t>
      </w:r>
      <w:r w:rsidR="00BC1BBD">
        <w:rPr>
          <w:rFonts w:ascii="Times New Roman" w:hAnsi="Times New Roman"/>
          <w:sz w:val="24"/>
          <w:szCs w:val="24"/>
          <w:lang w:eastAsia="pl-PL"/>
        </w:rPr>
        <w:t xml:space="preserve"> </w:t>
      </w:r>
      <w:r w:rsidR="00F4781C">
        <w:rPr>
          <w:rFonts w:ascii="Times New Roman" w:hAnsi="Times New Roman"/>
          <w:sz w:val="24"/>
          <w:szCs w:val="24"/>
          <w:lang w:eastAsia="pl-PL"/>
        </w:rPr>
        <w:t xml:space="preserve">                 </w:t>
      </w:r>
      <w:r w:rsidR="00BC1BBD">
        <w:rPr>
          <w:rFonts w:ascii="Times New Roman" w:hAnsi="Times New Roman"/>
          <w:sz w:val="24"/>
          <w:szCs w:val="24"/>
          <w:lang w:eastAsia="pl-PL"/>
        </w:rPr>
        <w:t>Końskie, dn</w:t>
      </w:r>
      <w:r w:rsidR="008C602B">
        <w:rPr>
          <w:rFonts w:ascii="Times New Roman" w:hAnsi="Times New Roman"/>
          <w:sz w:val="24"/>
          <w:szCs w:val="24"/>
          <w:lang w:eastAsia="pl-PL"/>
        </w:rPr>
        <w:t xml:space="preserve"> 15</w:t>
      </w:r>
      <w:r w:rsidR="00F4781C">
        <w:rPr>
          <w:rFonts w:ascii="Times New Roman" w:hAnsi="Times New Roman"/>
          <w:sz w:val="24"/>
          <w:szCs w:val="24"/>
          <w:lang w:eastAsia="pl-PL"/>
        </w:rPr>
        <w:t xml:space="preserve">.01.2021 </w:t>
      </w:r>
      <w:r w:rsidR="008F12AD" w:rsidRPr="009818FB">
        <w:rPr>
          <w:rFonts w:ascii="Times New Roman" w:hAnsi="Times New Roman"/>
          <w:sz w:val="24"/>
          <w:szCs w:val="24"/>
          <w:lang w:eastAsia="pl-PL"/>
        </w:rPr>
        <w:t>r.</w:t>
      </w:r>
    </w:p>
    <w:p w:rsidR="008F12AD" w:rsidRPr="009818FB" w:rsidRDefault="008F12AD" w:rsidP="00B33CDD">
      <w:pPr>
        <w:spacing w:after="0" w:line="240" w:lineRule="auto"/>
        <w:outlineLvl w:val="0"/>
        <w:rPr>
          <w:rFonts w:ascii="Times New Roman" w:hAnsi="Times New Roman"/>
          <w:b/>
          <w:bCs/>
          <w:kern w:val="36"/>
          <w:sz w:val="24"/>
          <w:szCs w:val="24"/>
        </w:rPr>
      </w:pPr>
    </w:p>
    <w:p w:rsidR="008F12AD" w:rsidRPr="009818FB" w:rsidRDefault="008F12AD" w:rsidP="00B33CDD">
      <w:pPr>
        <w:spacing w:after="0" w:line="240" w:lineRule="auto"/>
        <w:outlineLvl w:val="0"/>
        <w:rPr>
          <w:rFonts w:ascii="Times New Roman" w:hAnsi="Times New Roman"/>
          <w:b/>
          <w:bCs/>
          <w:kern w:val="36"/>
          <w:sz w:val="24"/>
          <w:szCs w:val="24"/>
        </w:rPr>
      </w:pPr>
    </w:p>
    <w:p w:rsidR="008F12AD" w:rsidRPr="009818FB" w:rsidRDefault="008F12AD" w:rsidP="00081BC1">
      <w:pPr>
        <w:spacing w:after="0" w:line="240" w:lineRule="auto"/>
        <w:jc w:val="center"/>
        <w:outlineLvl w:val="0"/>
        <w:rPr>
          <w:rFonts w:ascii="Times New Roman" w:hAnsi="Times New Roman"/>
          <w:b/>
          <w:bCs/>
          <w:kern w:val="36"/>
          <w:sz w:val="24"/>
          <w:szCs w:val="24"/>
        </w:rPr>
      </w:pPr>
      <w:r w:rsidRPr="009818FB">
        <w:rPr>
          <w:rFonts w:ascii="Times New Roman" w:hAnsi="Times New Roman"/>
          <w:b/>
          <w:bCs/>
          <w:kern w:val="36"/>
          <w:sz w:val="24"/>
          <w:szCs w:val="24"/>
        </w:rPr>
        <w:t>Otrzymują uczestnicy postępowania</w:t>
      </w:r>
    </w:p>
    <w:p w:rsidR="008F12AD" w:rsidRPr="009818FB" w:rsidRDefault="008F12AD" w:rsidP="00081BC1">
      <w:pPr>
        <w:spacing w:after="0" w:line="240" w:lineRule="auto"/>
        <w:jc w:val="center"/>
        <w:outlineLvl w:val="0"/>
        <w:rPr>
          <w:rFonts w:ascii="Times New Roman" w:hAnsi="Times New Roman"/>
          <w:b/>
          <w:bCs/>
          <w:kern w:val="36"/>
          <w:sz w:val="24"/>
          <w:szCs w:val="24"/>
        </w:rPr>
      </w:pPr>
      <w:r w:rsidRPr="009818FB">
        <w:rPr>
          <w:rFonts w:ascii="Times New Roman" w:hAnsi="Times New Roman"/>
          <w:b/>
          <w:bCs/>
          <w:kern w:val="36"/>
          <w:sz w:val="24"/>
          <w:szCs w:val="24"/>
        </w:rPr>
        <w:t>o udzielenie zamówienia publicznego</w:t>
      </w:r>
    </w:p>
    <w:p w:rsidR="008F12AD" w:rsidRPr="009818FB" w:rsidRDefault="008F12AD" w:rsidP="00081BC1">
      <w:pPr>
        <w:pStyle w:val="Zal-text"/>
        <w:spacing w:before="0" w:after="0" w:line="240" w:lineRule="auto"/>
        <w:ind w:left="0" w:right="0"/>
        <w:rPr>
          <w:rFonts w:ascii="Times New Roman" w:hAnsi="Times New Roman" w:cs="Times New Roman"/>
          <w:b/>
          <w:sz w:val="24"/>
          <w:szCs w:val="24"/>
        </w:rPr>
      </w:pPr>
    </w:p>
    <w:p w:rsidR="00844B86" w:rsidRPr="00844B86" w:rsidRDefault="008F12AD" w:rsidP="00844B86">
      <w:pPr>
        <w:pStyle w:val="Akapitzlist"/>
        <w:tabs>
          <w:tab w:val="left" w:pos="426"/>
          <w:tab w:val="left" w:pos="1800"/>
        </w:tabs>
        <w:spacing w:before="60" w:after="60"/>
        <w:ind w:left="0"/>
        <w:jc w:val="both"/>
        <w:rPr>
          <w:rFonts w:ascii="Times New Roman" w:hAnsi="Times New Roman"/>
          <w:b/>
          <w:sz w:val="24"/>
          <w:szCs w:val="24"/>
          <w:lang w:eastAsia="zh-CN"/>
        </w:rPr>
      </w:pPr>
      <w:r w:rsidRPr="00844B86">
        <w:rPr>
          <w:rFonts w:ascii="Times New Roman" w:hAnsi="Times New Roman"/>
          <w:b/>
          <w:sz w:val="24"/>
          <w:szCs w:val="24"/>
        </w:rPr>
        <w:t xml:space="preserve">Dotyczy postępowania o udzielenie zamówienia publicznego na: </w:t>
      </w:r>
      <w:r w:rsidR="00844B86" w:rsidRPr="00844B86">
        <w:rPr>
          <w:rFonts w:ascii="Times New Roman" w:hAnsi="Times New Roman"/>
          <w:b/>
          <w:sz w:val="24"/>
          <w:szCs w:val="24"/>
        </w:rPr>
        <w:t>Przebudowa Parku Miejskiego w Końskich w ramach zadania pn.: „</w:t>
      </w:r>
      <w:r w:rsidR="00844B86" w:rsidRPr="00844B86">
        <w:rPr>
          <w:rFonts w:ascii="Times New Roman" w:hAnsi="Times New Roman"/>
          <w:b/>
          <w:i/>
          <w:sz w:val="24"/>
          <w:szCs w:val="24"/>
        </w:rPr>
        <w:t>Rewitalizacja obszarów miasta Końskie (rewitalizacja centrum, przebudowa Parku Miejskiego, w tym Ogródka Jordanowskiego</w:t>
      </w:r>
      <w:r w:rsidR="00844B86" w:rsidRPr="00844B86">
        <w:rPr>
          <w:rFonts w:ascii="Times New Roman" w:hAnsi="Times New Roman"/>
          <w:b/>
          <w:sz w:val="24"/>
          <w:szCs w:val="24"/>
        </w:rPr>
        <w:t>”</w:t>
      </w:r>
      <w:r w:rsidR="00844B86" w:rsidRPr="00844B86">
        <w:rPr>
          <w:rFonts w:ascii="Times New Roman" w:hAnsi="Times New Roman"/>
          <w:b/>
          <w:sz w:val="24"/>
          <w:szCs w:val="24"/>
          <w:lang w:eastAsia="zh-CN"/>
        </w:rPr>
        <w:t>.</w:t>
      </w:r>
    </w:p>
    <w:p w:rsidR="008F12AD" w:rsidRPr="009818FB" w:rsidRDefault="008F12AD" w:rsidP="00561851">
      <w:pPr>
        <w:spacing w:line="360" w:lineRule="auto"/>
        <w:jc w:val="both"/>
        <w:rPr>
          <w:rFonts w:ascii="Times New Roman" w:hAnsi="Times New Roman"/>
          <w:b/>
          <w:sz w:val="24"/>
          <w:szCs w:val="24"/>
        </w:rPr>
      </w:pPr>
    </w:p>
    <w:p w:rsidR="008F12AD" w:rsidRPr="009818FB" w:rsidRDefault="008F12AD" w:rsidP="00561851">
      <w:pPr>
        <w:spacing w:after="0" w:line="240" w:lineRule="auto"/>
        <w:jc w:val="both"/>
        <w:rPr>
          <w:rFonts w:ascii="Times New Roman" w:hAnsi="Times New Roman"/>
          <w:sz w:val="24"/>
          <w:szCs w:val="24"/>
        </w:rPr>
      </w:pPr>
    </w:p>
    <w:p w:rsidR="008F12AD" w:rsidRPr="00F4781C" w:rsidRDefault="008F12AD" w:rsidP="00896296">
      <w:pPr>
        <w:spacing w:after="0" w:line="240" w:lineRule="auto"/>
        <w:ind w:firstLine="708"/>
        <w:jc w:val="both"/>
        <w:rPr>
          <w:rFonts w:ascii="Times New Roman" w:hAnsi="Times New Roman"/>
          <w:sz w:val="24"/>
          <w:szCs w:val="24"/>
        </w:rPr>
      </w:pPr>
      <w:r w:rsidRPr="00F4781C">
        <w:rPr>
          <w:rFonts w:ascii="Times New Roman" w:hAnsi="Times New Roman"/>
          <w:sz w:val="24"/>
          <w:szCs w:val="24"/>
        </w:rPr>
        <w:t>Zamawiający na podstawie art. 38 ust. 2 ustawy z dnia 29 stycznia 2004 r. Prawo zamówień publiczny</w:t>
      </w:r>
      <w:r w:rsidR="00BC1BBD" w:rsidRPr="00F4781C">
        <w:rPr>
          <w:rFonts w:ascii="Times New Roman" w:hAnsi="Times New Roman"/>
          <w:sz w:val="24"/>
          <w:szCs w:val="24"/>
        </w:rPr>
        <w:t xml:space="preserve">ch (Dz. U. z 2019 poz. 1843 </w:t>
      </w:r>
      <w:r w:rsidRPr="00F4781C">
        <w:rPr>
          <w:rFonts w:ascii="Times New Roman" w:hAnsi="Times New Roman"/>
          <w:sz w:val="24"/>
          <w:szCs w:val="24"/>
        </w:rPr>
        <w:t>) udziela odpowiedzi do treści Specyfikacji Istotnych Warunków Zamówienia w związku z otrzymanym  pytaniem:</w:t>
      </w:r>
    </w:p>
    <w:p w:rsidR="008F12AD" w:rsidRPr="00F4781C" w:rsidRDefault="008F12AD" w:rsidP="009818FB">
      <w:pPr>
        <w:pStyle w:val="Akapitzlist"/>
        <w:ind w:left="0"/>
        <w:jc w:val="both"/>
        <w:rPr>
          <w:rFonts w:ascii="Times New Roman" w:hAnsi="Times New Roman"/>
          <w:sz w:val="24"/>
          <w:szCs w:val="24"/>
        </w:rPr>
      </w:pPr>
    </w:p>
    <w:p w:rsidR="00725ECB" w:rsidRPr="008B7A2F" w:rsidRDefault="00725ECB" w:rsidP="00725ECB">
      <w:pPr>
        <w:pStyle w:val="Akapitzlist"/>
        <w:ind w:left="0"/>
        <w:jc w:val="both"/>
        <w:rPr>
          <w:rFonts w:ascii="Times New Roman" w:eastAsia="Times New Roman" w:hAnsi="Times New Roman"/>
        </w:rPr>
      </w:pPr>
      <w:r w:rsidRPr="008B7A2F">
        <w:rPr>
          <w:rFonts w:ascii="Times New Roman" w:eastAsia="Times New Roman" w:hAnsi="Times New Roman"/>
        </w:rPr>
        <w:t>Pytanie 1</w:t>
      </w:r>
    </w:p>
    <w:p w:rsidR="00725ECB" w:rsidRPr="008B7A2F" w:rsidRDefault="00725ECB" w:rsidP="00725ECB">
      <w:pPr>
        <w:pStyle w:val="Akapitzlist"/>
        <w:ind w:left="0"/>
        <w:jc w:val="both"/>
        <w:rPr>
          <w:rFonts w:ascii="Times New Roman" w:eastAsia="Times New Roman" w:hAnsi="Times New Roman"/>
        </w:rPr>
      </w:pPr>
      <w:r w:rsidRPr="008B7A2F">
        <w:rPr>
          <w:rFonts w:ascii="Times New Roman" w:eastAsia="Times New Roman" w:hAnsi="Times New Roman"/>
        </w:rPr>
        <w:t>Prosimy o jednoznaczne określenie czy Wykonawca jest zobowiązany do uzyskania decyzji pozwolenia na użytkowanie obiektu budowlanego.</w:t>
      </w:r>
    </w:p>
    <w:p w:rsidR="00725ECB" w:rsidRPr="008B7A2F" w:rsidRDefault="00725ECB" w:rsidP="00725ECB">
      <w:pPr>
        <w:pStyle w:val="Akapitzlist"/>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2</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 xml:space="preserve">Prosimy o precyzyjne określenie </w:t>
      </w:r>
      <w:r>
        <w:rPr>
          <w:rFonts w:ascii="Times New Roman" w:eastAsia="Times New Roman" w:hAnsi="Times New Roman"/>
        </w:rPr>
        <w:t xml:space="preserve">na rysunku </w:t>
      </w:r>
      <w:r w:rsidRPr="008B7A2F">
        <w:rPr>
          <w:rFonts w:ascii="Times New Roman" w:eastAsia="Times New Roman" w:hAnsi="Times New Roman"/>
        </w:rPr>
        <w:t>zakresu, ilości i rodzaju nasadzeń zieleni, wycinek drzew i cięć sanitarnych. Określenie użyte w opisie przedmiotu zamówienia oraz SIWZ „wzdłuż”, „wokół”, „w otoczeniu” jest określeniem względnym, interpretowanym w różny sposób. Ponadto ilości przedmiarowe znacznie odbiegają od ilości wskazanych w projekcie zieleni.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3</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14 d.1.4. przedmiaru KON-KST-E1_PZT-Z.1 Zagospodarowanie zielenią. „Sadzenie drzew liściastych - wg wykazu z projektu, w gr.kat.III z całkowitą zaprawądołów śr./głębok. 1.0/0.7 m”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4</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15 d.1.4. przedmiaru KON-KST-E1_PZT-Z.1 Zagospodarowanie zielenią. „Sadzenie krzewów liściastych większych w gr.kat.III z całkowitą zaprawą dołów śr./głębok. 0.3 m - wg wykazu z projektu”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Default="00725ECB" w:rsidP="00725ECB">
      <w:pPr>
        <w:pStyle w:val="Akapitzlist"/>
        <w:autoSpaceDE w:val="0"/>
        <w:autoSpaceDN w:val="0"/>
        <w:ind w:left="0"/>
        <w:jc w:val="both"/>
        <w:rPr>
          <w:rFonts w:ascii="Times New Roman" w:eastAsia="Times New Roman" w:hAnsi="Times New Roman"/>
        </w:rPr>
      </w:pPr>
    </w:p>
    <w:p w:rsidR="00725ECB"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5</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16 d.1.4. przedmiaru KON-KST-E1_PZT-Z.1 Zagospodarowanie zielenią. „Sadzenie krzewów żywopłotowych - wg wykazu z projektu, w gruncie kat. III z całkowitą zaprawą rowów”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6</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17 d.1.4. przedmiaru KON-KST-E1_PZT-Z.1 Zagospodarowanie zielenią. „Sadzenie pnączy w gr.kat.III z całkowitą zaprawą dołów śr./głębok. 0.15 m – wg wykazu z projektu”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7</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18 d.1.4. przedmiaru KON-KST-E1_PZT-Z.1 Zagospodarowanie zielenią. „Sadzenie krzewów iglastych większych - wg wykazu z projektu, na terenie płaskim w gruncie kat. III z zaprawą dołów; średnica/głębokość : 0.5 m”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8</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19 d.1.4. przedmiaru KON-KST-E1_PZT-Z.1 Zagospodarowanie zielenią. „Sadzenie krzewów iglastych większych - wg wykazu z projektu, na terenie płaskim w gruncie kat. III z zaprawą dołów; średnica/głębokość : 0.5 m”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9</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20 d.1.4. przedmiaru KON-KST-E1_PZT-Z.1 Zagospodarowanie zielenią. „Sadzenie bylin mniejszych w gr.kat.III z całkowitą zaprawą dołów śr./głębok. 0.15m - wg wykazu z projektu” Prosimy o podanie gatunków roślin objętych pozycją wraz z ilościami poszczególnych gatunków. Ze względu na duże rozbieżności pomiędzy przedmiarem i projektem zieleni oraz nieprecyzyjne określenie obszaru objętego nasadzeniami nie jest możliwe skorzystanie z wykazu nasadzeń z projektu.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lastRenderedPageBreak/>
        <w:t>Pytanie 10</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Prosimy o potwierdzenie ilości przedmiarowych nowych nasadzeń (poz. 14 d.1.4 – 20 d.1.4) objętych przedmiotowym postępowaniem.</w:t>
      </w:r>
    </w:p>
    <w:p w:rsidR="00725ECB" w:rsidRDefault="00725ECB" w:rsidP="00725ECB">
      <w:pPr>
        <w:pStyle w:val="Akapitzlist"/>
        <w:autoSpaceDE w:val="0"/>
        <w:autoSpaceDN w:val="0"/>
        <w:ind w:left="0"/>
        <w:jc w:val="both"/>
        <w:rPr>
          <w:rFonts w:ascii="Times New Roman" w:eastAsia="Times New Roman" w:hAnsi="Times New Roman"/>
        </w:rPr>
      </w:pPr>
    </w:p>
    <w:p w:rsidR="00725ECB"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11</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Poz. 1 i 2 przedmiaru KON-KST-E1_PZT-Z.1 Zagospodarowanie zielenią. Prosimy o jednoznaczne wskazanie</w:t>
      </w:r>
      <w:r>
        <w:rPr>
          <w:rFonts w:ascii="Times New Roman" w:eastAsia="Times New Roman" w:hAnsi="Times New Roman"/>
        </w:rPr>
        <w:t xml:space="preserve"> na rysunku</w:t>
      </w:r>
      <w:r w:rsidRPr="008B7A2F">
        <w:rPr>
          <w:rFonts w:ascii="Times New Roman" w:eastAsia="Times New Roman" w:hAnsi="Times New Roman"/>
        </w:rPr>
        <w:t xml:space="preserve"> w projekcie drzew przeznaczonych do wycinki objętych niniejszym postepowaniem. Nadmieniamy, że dla zamówienia realizowanego w formule buduj Zamawiający powinien precyzyjnie wskazać zakres robót budowlanych. </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12</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Prosimy o potwierdzenie ilości przedmiarowych drzew przeznaczonych do wycinki objętych przedmiotowym postepowaniem.</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13</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 xml:space="preserve">Poz. 4 przedmiaru Cięcia sanitarne, w tym suchych gałęzi oraz podkrzesanie drzew (wg wskazań w projekcie gospodarki drzewostanem) – Prosimy o jednoznaczne wskazanie </w:t>
      </w:r>
      <w:r>
        <w:rPr>
          <w:rFonts w:ascii="Times New Roman" w:eastAsia="Times New Roman" w:hAnsi="Times New Roman"/>
        </w:rPr>
        <w:t xml:space="preserve">na rysunku </w:t>
      </w:r>
      <w:r w:rsidRPr="008B7A2F">
        <w:rPr>
          <w:rFonts w:ascii="Times New Roman" w:eastAsia="Times New Roman" w:hAnsi="Times New Roman"/>
        </w:rPr>
        <w:t>w projekcie drzew objętych cięciami sanitarnymi objętych przedmiotowym postępowaniem. Nadmieniamy, że dla zamówienia realizowanego w formule buduj Zamawiający powinien precyzyjnie wskazać zakres robót budowlanych.</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14</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Prosimy o potwierdzenie ilości przedmiarowych cięć sanitarnych objętych przedmiotowy postepowaniem.</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15</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Prosimy o określenie, czy ławki parkowe mają być z podłokietnikami czy bez.</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16</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 xml:space="preserve">Dotyczy przedmiaru KON-KST_E1-PZT-S Branża sanitarna – Park poz. 64 d.3.1, 65 d.3.1, 66 d.3.1, 67 d.3.1, 68 d.3.1, 69 d.3.1, 70 d.3.1, 71 d.3.1, 72 d.3.1, 73 d.3.1, 74 d.3.1, 75 d.3.1, 76 d.3.1, 77 d.3.1, 78 d.3.1, 79 d.3.1, 80 d.3.1, 81 d.3.1, 82 d.3.1 „Montaż” – prosimy o doprecyzowanie czego dokładnie dotyczą niniejsze pozycje. </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17</w:t>
      </w: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 xml:space="preserve">Zwracamy się z prośbą o zmianę wymagań dla nawierzchni z kruszywa niezwiązanego zgodnie z powszechnie występującymi w Polsce wymaganiami jakimi jest PN-EN 13242 oraz WT – 4  z 2010 roku. Normy DIN nie są stosowane w Polsce, przez co zdecydowana większość niezależnych laboratoriów nie będzie posiadała sprzętu do wykonania przywołanych badań wg określonych w DIN metod.  W Polsce do badań fizykomechanicznych powszechnie stosuje się,  np. do przywołanej wodoprzepuszczalności metody badania z WT – 4 2010 jakim jest ISO/TS 17892-11:2004 jak również, Badanie współczynnika filtracji - wg według normy BN-76/8950-03 lub wzoru USBSC „amerykańskiego”. Dodatkowo WT – 4 przedstawia też wszelkie niezbędne parametry dla przedmiotowej warstwy, łącznie z krzywymi granicznymi jak i możliwymi odchyłkami. Producenci </w:t>
      </w:r>
      <w:r w:rsidRPr="008B7A2F">
        <w:rPr>
          <w:rFonts w:ascii="Times New Roman" w:eastAsia="Times New Roman" w:hAnsi="Times New Roman"/>
        </w:rPr>
        <w:lastRenderedPageBreak/>
        <w:t xml:space="preserve">kruszyw nie będą mogli też wystawić certyfikatów na normy DIN, z uwagi na to, że wdrożone systemy obligują laboratoria do certyfikacji europejskiej. </w:t>
      </w:r>
    </w:p>
    <w:p w:rsidR="00725ECB" w:rsidRPr="008B7A2F" w:rsidRDefault="00725ECB" w:rsidP="00725ECB">
      <w:pPr>
        <w:pStyle w:val="Akapitzlist"/>
        <w:autoSpaceDE w:val="0"/>
        <w:autoSpaceDN w:val="0"/>
        <w:ind w:left="0"/>
        <w:jc w:val="both"/>
        <w:rPr>
          <w:rFonts w:ascii="Times New Roman" w:eastAsia="Times New Roman" w:hAnsi="Times New Roman"/>
        </w:rPr>
      </w:pPr>
    </w:p>
    <w:p w:rsidR="00725ECB" w:rsidRPr="008B7A2F" w:rsidRDefault="00725ECB" w:rsidP="00725ECB">
      <w:pPr>
        <w:pStyle w:val="Akapitzlist"/>
        <w:autoSpaceDE w:val="0"/>
        <w:autoSpaceDN w:val="0"/>
        <w:ind w:left="0"/>
        <w:jc w:val="both"/>
        <w:rPr>
          <w:rFonts w:ascii="Times New Roman" w:eastAsia="Times New Roman" w:hAnsi="Times New Roman"/>
        </w:rPr>
      </w:pPr>
      <w:r w:rsidRPr="008B7A2F">
        <w:rPr>
          <w:rFonts w:ascii="Times New Roman" w:eastAsia="Times New Roman" w:hAnsi="Times New Roman"/>
        </w:rPr>
        <w:t>Pytanie 18</w:t>
      </w:r>
    </w:p>
    <w:p w:rsidR="00725ECB" w:rsidRDefault="00725ECB" w:rsidP="00725ECB">
      <w:pPr>
        <w:pStyle w:val="Akapitzlist"/>
        <w:ind w:left="0"/>
        <w:jc w:val="both"/>
        <w:rPr>
          <w:rFonts w:ascii="Times New Roman" w:hAnsi="Times New Roman"/>
        </w:rPr>
      </w:pPr>
      <w:r>
        <w:rPr>
          <w:rFonts w:ascii="Times New Roman" w:hAnsi="Times New Roman"/>
        </w:rPr>
        <w:t>Prosimy o wskazanie nazwy zamówienia jaka ma się znaleźć na gwarancji bankowej w przypadku wnoszenia wadium w takiej formie.</w:t>
      </w:r>
    </w:p>
    <w:p w:rsidR="00725ECB" w:rsidRDefault="00725ECB" w:rsidP="00725ECB">
      <w:pPr>
        <w:pStyle w:val="Akapitzlist"/>
        <w:ind w:left="0"/>
        <w:jc w:val="both"/>
        <w:rPr>
          <w:rFonts w:ascii="Times New Roman" w:hAnsi="Times New Roman"/>
        </w:rPr>
      </w:pPr>
      <w:r>
        <w:rPr>
          <w:rFonts w:ascii="Times New Roman" w:hAnsi="Times New Roman"/>
        </w:rPr>
        <w:t>Pytanie 19.</w:t>
      </w:r>
    </w:p>
    <w:p w:rsidR="00725ECB" w:rsidRDefault="00725ECB" w:rsidP="00725ECB">
      <w:pPr>
        <w:pStyle w:val="Akapitzlist"/>
        <w:ind w:left="0"/>
        <w:jc w:val="both"/>
        <w:rPr>
          <w:rFonts w:ascii="Times New Roman" w:hAnsi="Times New Roman"/>
          <w:b/>
          <w:bCs/>
          <w:i/>
          <w:iCs/>
        </w:rPr>
      </w:pPr>
      <w:r>
        <w:rPr>
          <w:rFonts w:ascii="Times New Roman" w:hAnsi="Times New Roman"/>
        </w:rPr>
        <w:t xml:space="preserve">Dotyczy §9 Umowy </w:t>
      </w:r>
      <w:r w:rsidRPr="003A2B1C">
        <w:rPr>
          <w:rFonts w:ascii="Times New Roman" w:hAnsi="Times New Roman"/>
          <w:i/>
          <w:iCs/>
        </w:rPr>
        <w:t>Sposób realizacji umowy</w:t>
      </w:r>
      <w:r>
        <w:rPr>
          <w:rFonts w:ascii="Times New Roman" w:hAnsi="Times New Roman"/>
          <w:i/>
          <w:iCs/>
        </w:rPr>
        <w:t xml:space="preserve">, </w:t>
      </w:r>
      <w:r>
        <w:rPr>
          <w:rFonts w:ascii="Times New Roman" w:hAnsi="Times New Roman"/>
        </w:rPr>
        <w:t>u</w:t>
      </w:r>
      <w:r w:rsidRPr="00984DD9">
        <w:rPr>
          <w:rFonts w:ascii="Times New Roman" w:hAnsi="Times New Roman"/>
        </w:rPr>
        <w:t>st. 4.</w:t>
      </w:r>
      <w:r>
        <w:rPr>
          <w:rFonts w:ascii="Times New Roman" w:hAnsi="Times New Roman"/>
          <w:i/>
          <w:iCs/>
        </w:rPr>
        <w:t xml:space="preserve"> </w:t>
      </w:r>
      <w:r w:rsidRPr="003A2B1C">
        <w:rPr>
          <w:rFonts w:ascii="Times New Roman" w:hAnsi="Times New Roman"/>
        </w:rPr>
        <w:t>Prosimy o wyjaśnie</w:t>
      </w:r>
      <w:r>
        <w:rPr>
          <w:rFonts w:ascii="Times New Roman" w:hAnsi="Times New Roman"/>
        </w:rPr>
        <w:t>nie</w:t>
      </w:r>
      <w:r>
        <w:rPr>
          <w:rFonts w:ascii="Times New Roman" w:hAnsi="Times New Roman"/>
          <w:i/>
          <w:iCs/>
        </w:rPr>
        <w:t xml:space="preserve"> </w:t>
      </w:r>
      <w:r w:rsidRPr="003A2B1C">
        <w:rPr>
          <w:rFonts w:ascii="Times New Roman" w:hAnsi="Times New Roman"/>
        </w:rPr>
        <w:t xml:space="preserve">co Zamawiający </w:t>
      </w:r>
      <w:r>
        <w:rPr>
          <w:rFonts w:ascii="Times New Roman" w:hAnsi="Times New Roman"/>
        </w:rPr>
        <w:t xml:space="preserve">rozumie pod sformułowaniem: </w:t>
      </w:r>
      <w:r w:rsidRPr="00984DD9">
        <w:rPr>
          <w:rFonts w:ascii="Times New Roman" w:hAnsi="Times New Roman"/>
          <w:i/>
          <w:iCs/>
        </w:rPr>
        <w:t xml:space="preserve">Obowiązkiem Wykonawcy jest pozyskać </w:t>
      </w:r>
      <w:r w:rsidRPr="00984DD9">
        <w:rPr>
          <w:rFonts w:ascii="Times New Roman" w:hAnsi="Times New Roman"/>
          <w:b/>
          <w:bCs/>
          <w:i/>
          <w:iCs/>
        </w:rPr>
        <w:t>wszelkie niezbędne decyzje administracyjne</w:t>
      </w:r>
      <w:r>
        <w:rPr>
          <w:rFonts w:ascii="Times New Roman" w:hAnsi="Times New Roman"/>
          <w:b/>
          <w:bCs/>
          <w:i/>
          <w:iCs/>
        </w:rPr>
        <w:t>.</w:t>
      </w:r>
    </w:p>
    <w:p w:rsidR="008F12AD" w:rsidRDefault="008C602B" w:rsidP="00682A31">
      <w:pPr>
        <w:spacing w:after="0" w:line="240" w:lineRule="auto"/>
        <w:jc w:val="both"/>
        <w:rPr>
          <w:rFonts w:ascii="Times New Roman" w:hAnsi="Times New Roman"/>
          <w:sz w:val="24"/>
          <w:szCs w:val="24"/>
        </w:rPr>
      </w:pPr>
      <w:r>
        <w:rPr>
          <w:rFonts w:ascii="Times New Roman" w:hAnsi="Times New Roman"/>
          <w:sz w:val="24"/>
          <w:szCs w:val="24"/>
        </w:rPr>
        <w:t>Odpowiedzi:</w:t>
      </w:r>
    </w:p>
    <w:p w:rsidR="008C602B" w:rsidRPr="00CF10D3" w:rsidRDefault="008C602B" w:rsidP="008C602B">
      <w:pPr>
        <w:spacing w:after="0" w:line="240" w:lineRule="auto"/>
        <w:rPr>
          <w:rFonts w:ascii="Times New Roman" w:hAnsi="Times New Roman"/>
          <w:sz w:val="24"/>
          <w:szCs w:val="24"/>
        </w:rPr>
      </w:pPr>
      <w:r w:rsidRPr="00CF10D3">
        <w:rPr>
          <w:rFonts w:ascii="Times New Roman" w:hAnsi="Times New Roman"/>
          <w:sz w:val="24"/>
          <w:szCs w:val="24"/>
        </w:rPr>
        <w:t>Ad. 1 – Tak, obowiązek ten wynika z zapisów decyzji o PB - BP.6740.290.2019.MW z dnia 10.07.2019 roku.</w:t>
      </w:r>
    </w:p>
    <w:p w:rsidR="008C602B" w:rsidRPr="00CF10D3" w:rsidRDefault="008C602B" w:rsidP="008C602B">
      <w:pPr>
        <w:spacing w:after="0" w:line="240" w:lineRule="auto"/>
        <w:rPr>
          <w:rFonts w:ascii="Times New Roman" w:hAnsi="Times New Roman"/>
          <w:sz w:val="24"/>
          <w:szCs w:val="24"/>
        </w:rPr>
      </w:pPr>
    </w:p>
    <w:p w:rsidR="008C602B"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Ad. 2-10. Zakres szczegółowy dot. obsadzeń podany jest w projekcie zieleni</w:t>
      </w:r>
      <w:r>
        <w:rPr>
          <w:rFonts w:ascii="Times New Roman" w:hAnsi="Times New Roman"/>
          <w:sz w:val="24"/>
          <w:szCs w:val="24"/>
        </w:rPr>
        <w:t xml:space="preserve"> KON-PW-E1-T6-Z.1-PZT-Z-ZIELEŃ (opis + załączniki graficzne) oraz na rysunku (załącznik Nr 3A i 3B) - w załączeniu. Ilość i rodzaj nasadzeń, należy określić na podstawie projektu zieleni KON-PW-E1-T6-Z.1-PZT-Z-ZIELEŃ (opis + załączniki graficzne) w zakresie pokazanym na załącznikach Nr 3A i 3B oznaczonym przerywaną linią koloru czerwonego.</w:t>
      </w:r>
    </w:p>
    <w:p w:rsidR="008C602B" w:rsidRPr="00CF10D3" w:rsidRDefault="008C602B" w:rsidP="008C602B">
      <w:pPr>
        <w:suppressAutoHyphens/>
        <w:spacing w:after="0" w:line="240" w:lineRule="auto"/>
        <w:jc w:val="both"/>
        <w:rPr>
          <w:rFonts w:ascii="Times New Roman" w:hAnsi="Times New Roman"/>
          <w:sz w:val="24"/>
          <w:szCs w:val="24"/>
        </w:rPr>
      </w:pPr>
      <w:r>
        <w:rPr>
          <w:rFonts w:ascii="Times New Roman" w:hAnsi="Times New Roman"/>
          <w:sz w:val="24"/>
          <w:szCs w:val="24"/>
        </w:rPr>
        <w:t>Wycinaka drzew i cięcia zgodnie z przedmiotem zamówienia: „</w:t>
      </w:r>
      <w:r w:rsidRPr="00CF10D3">
        <w:rPr>
          <w:rFonts w:ascii="Times New Roman" w:hAnsi="Times New Roman"/>
          <w:sz w:val="24"/>
          <w:szCs w:val="24"/>
        </w:rPr>
        <w:t>Zagospodarowanie zielenią w zakresie usunięcia drzew i krzewów (oczyszczenie terenu): ścinanie i karczowanie drzew i krzewów, usuwanie karp, ciecie sanitarne; prace agrotechniczne, nasadzenia drzew, krzewów, pnączy i bylin, wykonanie rabat i trawników.</w:t>
      </w:r>
    </w:p>
    <w:p w:rsidR="008C602B"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Wycinka obejmuje wyłącznie drzewa kolidujące z projektowanymi nawierzchniami alei i ścieżek spacerowych, infrastrukturą techniczną oraz drzewa chore</w:t>
      </w:r>
      <w:r>
        <w:rPr>
          <w:rFonts w:ascii="Times New Roman" w:hAnsi="Times New Roman"/>
          <w:sz w:val="24"/>
          <w:szCs w:val="24"/>
        </w:rPr>
        <w:t>”.</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Ad. 11-12. Wykaz drzew, do wycinki znajduje się w projekcie gospodarki drzewostanem. Każde drzewo ma swój numer i bardzo szczegółowy opis. </w:t>
      </w:r>
    </w:p>
    <w:p w:rsidR="008C602B"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Wycinka obejmuje wyłącznie drzewa kolidujące z projektowanymi nawierzchniami alei i ścieżek spacerowych, infrastrukturą techniczną oraz drzewa chore</w:t>
      </w:r>
      <w:r>
        <w:rPr>
          <w:rFonts w:ascii="Times New Roman" w:hAnsi="Times New Roman"/>
          <w:sz w:val="24"/>
          <w:szCs w:val="24"/>
        </w:rPr>
        <w:t xml:space="preserve"> określone w dokumentacji.</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Ad. 13-14. Wykaz drzew, dla których należy wykonać zabiegi pielęgnacyjne znajduje się w projekcie gospodarki drzewostanem. Każde drzewo ma swój numer i opis.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Proszę uwzględnić  wszystkie zabiegi wskazane w projekcie gospodarki drzewostanem dla drzew znajdujących się w granicach realizacji zamówienia.</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W wycenie należy przewidzieć liczbę drzew przeznaczoną do pielęgnacji </w:t>
      </w:r>
      <w:r>
        <w:rPr>
          <w:rFonts w:ascii="Times New Roman" w:hAnsi="Times New Roman"/>
          <w:sz w:val="24"/>
          <w:szCs w:val="24"/>
        </w:rPr>
        <w:t xml:space="preserve">na etapie realizacji </w:t>
      </w:r>
      <w:r w:rsidRPr="00CF10D3">
        <w:rPr>
          <w:rFonts w:ascii="Times New Roman" w:hAnsi="Times New Roman"/>
          <w:sz w:val="24"/>
          <w:szCs w:val="24"/>
        </w:rPr>
        <w:t xml:space="preserve">(różne cięcia, założenie wiązań i pozostałe zabiegi) wskazaną w przedmiarze. </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Ad. 15. Ławka musi być zgodna z dołączonym wzorem z uwzględnieniem wszystkich podanych parametrów.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Jest to wzór zaakceptowany, podobnie jak inne elementy wyposażenia i malej architektury, przez Konserwatora Zabytków.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W projekcie podano minimalną wagę odlewu. Jest to odlew wg historycznego wzoru.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Każda zmiana musi zostać pisemnie uzgodniona z projektantem i ŚWKZ w Kielcach.</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5B6189">
      <w:pPr>
        <w:spacing w:after="0" w:line="240" w:lineRule="auto"/>
        <w:jc w:val="both"/>
        <w:rPr>
          <w:rFonts w:ascii="Times New Roman" w:hAnsi="Times New Roman"/>
          <w:sz w:val="24"/>
          <w:szCs w:val="24"/>
        </w:rPr>
      </w:pPr>
      <w:r w:rsidRPr="00CF10D3">
        <w:rPr>
          <w:rFonts w:ascii="Times New Roman" w:hAnsi="Times New Roman"/>
          <w:sz w:val="24"/>
          <w:szCs w:val="24"/>
        </w:rPr>
        <w:t>Ad. 16 – Zgodnie z treścią odpowiedzi udzielonej</w:t>
      </w:r>
      <w:r w:rsidR="005B6189">
        <w:rPr>
          <w:rFonts w:ascii="Times New Roman" w:hAnsi="Times New Roman"/>
          <w:sz w:val="24"/>
          <w:szCs w:val="24"/>
        </w:rPr>
        <w:t>.</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Ad. 17 – Producent nawierzchni mineralnych powinien udokumentować stosownymi certyfikatami z niezależnych laboratoriów badawczych</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spełnienie kryteriów określonych w instrukcji SST D02.05. Z uwagi na fakt, że brak jest norm europejskich regulujących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wymagania mechanicznobiologiczne systemowych nawierzchni mineralnych, przywołanie normy DIN 18 035-5 podyktowane jest względami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praktycznymi, co nie wyklucza dopuszczenia wyników badań laboratoryjnych przeprowadzonych wg standardów krajowych laboratoriów,</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np.: Laboratorium Kontrolne Budownictwa Drogowego, Podziemnego oraz Boisk i Terenów Sportowych. Producenci kruszyw mogą i wystawiają certyfikaty na normy DIN.</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Minimalne kryteria jakie określono w SST są i tak mniej rygorystyczne, niż np. zalecane przez Zachodniopomorski Uniwersytet Technologiczny w Szczecinie -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wytyczne Katedry Dendrologii i Kształtowania Terenów Zieleni w wyboru nawierzchni mineralnych stosowanych na ciągach komunikacyjnych (ścieżki rowerowe,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trasy spacerowe piesze i o małym natężeniu ruchu kołowego) znajdujących się w obrębie terenów zieleni rekreacyjnej).</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Wymagania dla:</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warstwy nośnej: wodoprzepuszczalność – k=1,5*10-4 cm/s, wytrzymałość na ścinanie Ts=74 KN/m²</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zdolność pochłaniania H2O 9,2 l/m² (przy gęstości gruntu 0,95 Ppr grubość warstwy 4 cm)</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max. Pojemność kapilarna wodna (PK)=23%; porowatość ogólna 33,4 poj.%; objętość powietrza dla pF 1,8 (duże pory) = 11,9 poj.%.</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warstwy filtrującej/dynamicznej: wodoprzepuszczalność k=11,0*10-3 cm/s; wytrzymałość na ściskanie Ts=78 N/m²; odporność na ścieranie -9,5%</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mrozoodporność 1,4% </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Ponadto:</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cały materiał w celu zapewnienia jednorodności mechanicznej i kolorystycznej powinien pochodzić z jednego miejsca produkcji. Producent ma to udokume</w:t>
      </w:r>
      <w:r>
        <w:rPr>
          <w:rFonts w:ascii="Times New Roman" w:hAnsi="Times New Roman"/>
          <w:sz w:val="24"/>
          <w:szCs w:val="24"/>
        </w:rPr>
        <w:t>nt</w:t>
      </w:r>
      <w:r w:rsidRPr="00CF10D3">
        <w:rPr>
          <w:rFonts w:ascii="Times New Roman" w:hAnsi="Times New Roman"/>
          <w:sz w:val="24"/>
          <w:szCs w:val="24"/>
        </w:rPr>
        <w:t>ować.</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nawierzchnie mineralne nie mogą zawierać domieszek recyklingowych (kruszony beton, asfalt, domieszki piasku lub żwiru pochodzące z recyklingu). Producenta wystawia pisemną deklarację o niestosowaniu materiału recyklingowego.</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 W celu wykluczenia szkodliwego wpływu na otaczające środowisko naturalne (gleba, otaczająca flora, mikrofauna) nawierzchnie mineralne powinny spełniać wymagania określone w Rozporządzeniu Ministra Środowiska z dnia 9 września 2002 roku (poz. 1359) Dziennik Ustaw nr 165 oraz spełniać wymagania charakterystyczne dla gleb niezanieczyszczonych (PIOŚ i IUNG 1995). </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Od producenta należy wymagać stosownej deklaracji potwierdzonej badaniami wykonanymi w niezależnych laboratoriach (badania laboratoryjne powinny obejmować określenie odczynu pH, zawartość CaCO3, zasolenie NaCl materii organicznej, węgla organicznego i azotu ogólnego, oznaczenie ilości mikropierwiastków rozpuszczalnych w stężonych kwasach HNO3+HClO4, badanie na zawartość siarki ogólnej, kluczowym jest badanie nawierzchni </w:t>
      </w:r>
      <w:r w:rsidRPr="00CF10D3">
        <w:rPr>
          <w:rFonts w:ascii="Times New Roman" w:hAnsi="Times New Roman"/>
          <w:sz w:val="24"/>
          <w:szCs w:val="24"/>
        </w:rPr>
        <w:lastRenderedPageBreak/>
        <w:t>mineralnych pod kątem metali ciężkich rozpuszczalnych w stężonych kwasach HNO3+HClO4. Zawartość metali ciężkich tj.: Fe, Mn, Pb, Ni, Co, Cu, Zn i Cd nie mogą w żadnym wypadku przekraczać dopuszczalnych stężeń w glebie lub ziemi wymienionych w Rozporządzeniu Ministra Środowiska z dnia 9.09.2002 (poz. 1359) Dziennik Ustaw nr 165 i muszą być charakterystyczne dla gleb niezanieczyszczonych).</w:t>
      </w:r>
    </w:p>
    <w:p w:rsidR="008C602B" w:rsidRPr="00CF10D3" w:rsidRDefault="008C602B" w:rsidP="008C602B">
      <w:pPr>
        <w:spacing w:after="0" w:line="240" w:lineRule="auto"/>
        <w:jc w:val="both"/>
        <w:rPr>
          <w:rFonts w:ascii="Times New Roman" w:hAnsi="Times New Roman"/>
          <w:sz w:val="24"/>
          <w:szCs w:val="24"/>
        </w:rPr>
      </w:pP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Ad. 18. – </w:t>
      </w:r>
      <w:r w:rsidRPr="008C602B">
        <w:rPr>
          <w:rFonts w:ascii="Times New Roman" w:hAnsi="Times New Roman"/>
          <w:sz w:val="24"/>
          <w:szCs w:val="24"/>
        </w:rPr>
        <w:t>Przebudowa Parku Miejskiego w Końskich</w:t>
      </w:r>
    </w:p>
    <w:p w:rsidR="008C602B" w:rsidRPr="00CF10D3" w:rsidRDefault="008C602B" w:rsidP="008C602B">
      <w:pPr>
        <w:spacing w:after="0" w:line="240" w:lineRule="auto"/>
        <w:jc w:val="both"/>
        <w:rPr>
          <w:rFonts w:ascii="Times New Roman" w:hAnsi="Times New Roman"/>
          <w:sz w:val="24"/>
          <w:szCs w:val="24"/>
        </w:rPr>
      </w:pPr>
      <w:r w:rsidRPr="00CF10D3">
        <w:rPr>
          <w:rFonts w:ascii="Times New Roman" w:hAnsi="Times New Roman"/>
          <w:sz w:val="24"/>
          <w:szCs w:val="24"/>
        </w:rPr>
        <w:t xml:space="preserve">Ad. 19. – </w:t>
      </w:r>
      <w:r>
        <w:rPr>
          <w:rFonts w:ascii="Times New Roman" w:hAnsi="Times New Roman"/>
          <w:sz w:val="24"/>
          <w:szCs w:val="24"/>
        </w:rPr>
        <w:t>Wykonawca jest zobowiązany do pozyskania (wystąpienia i uzyskania prawomocnej decyzji administracyjnej) np. pozwolenie na użytkowanie, które okażą się niezbędne w trakcie realizacji inwestycji w celu prawidłowego wykonania i rozliczenia inwestycji.</w:t>
      </w:r>
    </w:p>
    <w:p w:rsidR="008C602B" w:rsidRPr="00F4781C" w:rsidRDefault="008C602B" w:rsidP="00682A31">
      <w:pPr>
        <w:spacing w:after="0" w:line="240" w:lineRule="auto"/>
        <w:jc w:val="both"/>
        <w:rPr>
          <w:rFonts w:ascii="Times New Roman" w:hAnsi="Times New Roman"/>
          <w:sz w:val="24"/>
          <w:szCs w:val="24"/>
        </w:rPr>
      </w:pPr>
    </w:p>
    <w:sectPr w:rsidR="008C602B" w:rsidRPr="00F4781C" w:rsidSect="00BC08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2CA" w:rsidRDefault="008502CA" w:rsidP="00844B86">
      <w:pPr>
        <w:spacing w:after="0" w:line="240" w:lineRule="auto"/>
      </w:pPr>
      <w:r>
        <w:separator/>
      </w:r>
    </w:p>
  </w:endnote>
  <w:endnote w:type="continuationSeparator" w:id="1">
    <w:p w:rsidR="008502CA" w:rsidRDefault="008502CA" w:rsidP="0084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2CA" w:rsidRDefault="008502CA" w:rsidP="00844B86">
      <w:pPr>
        <w:spacing w:after="0" w:line="240" w:lineRule="auto"/>
      </w:pPr>
      <w:r>
        <w:separator/>
      </w:r>
    </w:p>
  </w:footnote>
  <w:footnote w:type="continuationSeparator" w:id="1">
    <w:p w:rsidR="008502CA" w:rsidRDefault="008502CA" w:rsidP="00844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844B86" w:rsidRPr="00724C06" w:rsidTr="00893B44">
      <w:tc>
        <w:tcPr>
          <w:tcW w:w="2660" w:type="dxa"/>
          <w:vAlign w:val="center"/>
        </w:tcPr>
        <w:p w:rsidR="00844B86" w:rsidRPr="00724C06" w:rsidRDefault="001E5D26" w:rsidP="00893B44">
          <w:r>
            <w:rPr>
              <w:noProof/>
              <w:lang w:eastAsia="pl-PL"/>
            </w:rPr>
            <w:drawing>
              <wp:inline distT="0" distB="0" distL="0" distR="0">
                <wp:extent cx="1304925" cy="542925"/>
                <wp:effectExtent l="19050" t="0" r="9525" b="0"/>
                <wp:docPr id="1" name="Obraz 50"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p>
      </w:tc>
      <w:tc>
        <w:tcPr>
          <w:tcW w:w="2976" w:type="dxa"/>
          <w:vAlign w:val="center"/>
        </w:tcPr>
        <w:p w:rsidR="00844B86" w:rsidRPr="00724C06" w:rsidRDefault="00844B86" w:rsidP="00893B44">
          <w:pPr>
            <w:ind w:left="34"/>
            <w:jc w:val="center"/>
          </w:pPr>
          <w:r>
            <w:rPr>
              <w:noProof/>
              <w:lang w:eastAsia="pl-PL"/>
            </w:rPr>
            <w:t xml:space="preserve">               </w:t>
          </w:r>
          <w:r w:rsidR="001E5D26">
            <w:rPr>
              <w:noProof/>
              <w:lang w:eastAsia="pl-PL"/>
            </w:rPr>
            <w:drawing>
              <wp:inline distT="0" distB="0" distL="0" distR="0">
                <wp:extent cx="1238250" cy="581025"/>
                <wp:effectExtent l="19050" t="0" r="0" b="0"/>
                <wp:docPr id="2" name="Obraz 54"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Herb województwa Świętokrzyskiego"/>
                        <pic:cNvPicPr>
                          <a:picLocks noChangeAspect="1" noChangeArrowheads="1"/>
                        </pic:cNvPicPr>
                      </pic:nvPicPr>
                      <pic:blipFill>
                        <a:blip r:embed="rId2"/>
                        <a:srcRect/>
                        <a:stretch>
                          <a:fillRect/>
                        </a:stretch>
                      </pic:blipFill>
                      <pic:spPr bwMode="auto">
                        <a:xfrm>
                          <a:off x="0" y="0"/>
                          <a:ext cx="1238250" cy="581025"/>
                        </a:xfrm>
                        <a:prstGeom prst="rect">
                          <a:avLst/>
                        </a:prstGeom>
                        <a:noFill/>
                        <a:ln w="9525">
                          <a:noFill/>
                          <a:miter lim="800000"/>
                          <a:headEnd/>
                          <a:tailEnd/>
                        </a:ln>
                      </pic:spPr>
                    </pic:pic>
                  </a:graphicData>
                </a:graphic>
              </wp:inline>
            </w:drawing>
          </w:r>
        </w:p>
      </w:tc>
      <w:tc>
        <w:tcPr>
          <w:tcW w:w="3544" w:type="dxa"/>
          <w:vAlign w:val="center"/>
        </w:tcPr>
        <w:p w:rsidR="00844B86" w:rsidRPr="00724C06" w:rsidRDefault="001E5D26" w:rsidP="00893B44">
          <w:pPr>
            <w:ind w:right="-108"/>
            <w:jc w:val="right"/>
          </w:pPr>
          <w:r>
            <w:rPr>
              <w:noProof/>
              <w:lang w:eastAsia="pl-PL"/>
            </w:rPr>
            <w:drawing>
              <wp:inline distT="0" distB="0" distL="0" distR="0">
                <wp:extent cx="1781175" cy="542925"/>
                <wp:effectExtent l="19050" t="0" r="9525" b="0"/>
                <wp:docPr id="3" name="Obraz 52"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ogo Europejskiego Funduszu Rozwoju Regionalnego"/>
                        <pic:cNvPicPr>
                          <a:picLocks noChangeAspect="1" noChangeArrowheads="1"/>
                        </pic:cNvPicPr>
                      </pic:nvPicPr>
                      <pic:blipFill>
                        <a:blip r:embed="rId3"/>
                        <a:srcRect/>
                        <a:stretch>
                          <a:fillRect/>
                        </a:stretch>
                      </pic:blipFill>
                      <pic:spPr bwMode="auto">
                        <a:xfrm>
                          <a:off x="0" y="0"/>
                          <a:ext cx="1781175" cy="542925"/>
                        </a:xfrm>
                        <a:prstGeom prst="rect">
                          <a:avLst/>
                        </a:prstGeom>
                        <a:noFill/>
                        <a:ln w="9525">
                          <a:noFill/>
                          <a:miter lim="800000"/>
                          <a:headEnd/>
                          <a:tailEnd/>
                        </a:ln>
                      </pic:spPr>
                    </pic:pic>
                  </a:graphicData>
                </a:graphic>
              </wp:inline>
            </w:drawing>
          </w:r>
        </w:p>
      </w:tc>
    </w:tr>
  </w:tbl>
  <w:p w:rsidR="00844B86" w:rsidRDefault="00844B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AA50F42"/>
    <w:multiLevelType w:val="hybridMultilevel"/>
    <w:tmpl w:val="2130B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8">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0">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2">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3">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5">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16">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60A142A9"/>
    <w:multiLevelType w:val="hybridMultilevel"/>
    <w:tmpl w:val="1592E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3">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0">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1">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26"/>
  </w:num>
  <w:num w:numId="4">
    <w:abstractNumId w:val="11"/>
  </w:num>
  <w:num w:numId="5">
    <w:abstractNumId w:val="31"/>
  </w:num>
  <w:num w:numId="6">
    <w:abstractNumId w:val="25"/>
  </w:num>
  <w:num w:numId="7">
    <w:abstractNumId w:val="0"/>
  </w:num>
  <w:num w:numId="8">
    <w:abstractNumId w:val="32"/>
  </w:num>
  <w:num w:numId="9">
    <w:abstractNumId w:val="12"/>
  </w:num>
  <w:num w:numId="10">
    <w:abstractNumId w:val="28"/>
  </w:num>
  <w:num w:numId="11">
    <w:abstractNumId w:val="8"/>
  </w:num>
  <w:num w:numId="12">
    <w:abstractNumId w:val="21"/>
  </w:num>
  <w:num w:numId="13">
    <w:abstractNumId w:val="17"/>
  </w:num>
  <w:num w:numId="14">
    <w:abstractNumId w:val="16"/>
  </w:num>
  <w:num w:numId="15">
    <w:abstractNumId w:val="30"/>
  </w:num>
  <w:num w:numId="16">
    <w:abstractNumId w:val="7"/>
  </w:num>
  <w:num w:numId="17">
    <w:abstractNumId w:val="20"/>
  </w:num>
  <w:num w:numId="18">
    <w:abstractNumId w:val="24"/>
  </w:num>
  <w:num w:numId="19">
    <w:abstractNumId w:val="13"/>
  </w:num>
  <w:num w:numId="20">
    <w:abstractNumId w:val="6"/>
  </w:num>
  <w:num w:numId="21">
    <w:abstractNumId w:val="18"/>
  </w:num>
  <w:num w:numId="22">
    <w:abstractNumId w:val="2"/>
  </w:num>
  <w:num w:numId="23">
    <w:abstractNumId w:val="22"/>
  </w:num>
  <w:num w:numId="24">
    <w:abstractNumId w:val="4"/>
  </w:num>
  <w:num w:numId="25">
    <w:abstractNumId w:val="1"/>
  </w:num>
  <w:num w:numId="26">
    <w:abstractNumId w:val="10"/>
  </w:num>
  <w:num w:numId="27">
    <w:abstractNumId w:val="27"/>
  </w:num>
  <w:num w:numId="28">
    <w:abstractNumId w:val="23"/>
  </w:num>
  <w:num w:numId="29">
    <w:abstractNumId w:val="15"/>
  </w:num>
  <w:num w:numId="30">
    <w:abstractNumId w:val="14"/>
  </w:num>
  <w:num w:numId="31">
    <w:abstractNumId w:val="29"/>
  </w:num>
  <w:num w:numId="32">
    <w:abstractNumId w:val="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DA5E55"/>
    <w:rsid w:val="00015E07"/>
    <w:rsid w:val="00045521"/>
    <w:rsid w:val="00047969"/>
    <w:rsid w:val="0007648D"/>
    <w:rsid w:val="00081BC1"/>
    <w:rsid w:val="00090A12"/>
    <w:rsid w:val="00095A57"/>
    <w:rsid w:val="000A3021"/>
    <w:rsid w:val="000B6F8B"/>
    <w:rsid w:val="000C004E"/>
    <w:rsid w:val="000D2331"/>
    <w:rsid w:val="00115951"/>
    <w:rsid w:val="0013719B"/>
    <w:rsid w:val="00151D14"/>
    <w:rsid w:val="0017177D"/>
    <w:rsid w:val="00181D1D"/>
    <w:rsid w:val="00185362"/>
    <w:rsid w:val="00195A38"/>
    <w:rsid w:val="001B0FF8"/>
    <w:rsid w:val="001C7481"/>
    <w:rsid w:val="001D59AF"/>
    <w:rsid w:val="001E5D26"/>
    <w:rsid w:val="00207F96"/>
    <w:rsid w:val="00210024"/>
    <w:rsid w:val="00224E0E"/>
    <w:rsid w:val="00236D57"/>
    <w:rsid w:val="00255C3B"/>
    <w:rsid w:val="0026676F"/>
    <w:rsid w:val="002A2FCB"/>
    <w:rsid w:val="002C0E14"/>
    <w:rsid w:val="002E0F3A"/>
    <w:rsid w:val="003021E1"/>
    <w:rsid w:val="003131E8"/>
    <w:rsid w:val="00341A83"/>
    <w:rsid w:val="00370BB6"/>
    <w:rsid w:val="00373408"/>
    <w:rsid w:val="00376EBB"/>
    <w:rsid w:val="003B43AC"/>
    <w:rsid w:val="003B7216"/>
    <w:rsid w:val="003C1ABE"/>
    <w:rsid w:val="003D75B0"/>
    <w:rsid w:val="00400975"/>
    <w:rsid w:val="00405315"/>
    <w:rsid w:val="00416295"/>
    <w:rsid w:val="00420955"/>
    <w:rsid w:val="004232F8"/>
    <w:rsid w:val="00437920"/>
    <w:rsid w:val="0044228B"/>
    <w:rsid w:val="004442B8"/>
    <w:rsid w:val="00451276"/>
    <w:rsid w:val="00467D9F"/>
    <w:rsid w:val="00476422"/>
    <w:rsid w:val="00490A69"/>
    <w:rsid w:val="00493E32"/>
    <w:rsid w:val="004A0AC7"/>
    <w:rsid w:val="004E3A94"/>
    <w:rsid w:val="004E730B"/>
    <w:rsid w:val="004E798B"/>
    <w:rsid w:val="00525B38"/>
    <w:rsid w:val="00535756"/>
    <w:rsid w:val="00541FFD"/>
    <w:rsid w:val="00543072"/>
    <w:rsid w:val="00544FB6"/>
    <w:rsid w:val="0055427D"/>
    <w:rsid w:val="00561851"/>
    <w:rsid w:val="00575F02"/>
    <w:rsid w:val="00590128"/>
    <w:rsid w:val="005A09C1"/>
    <w:rsid w:val="005B6189"/>
    <w:rsid w:val="005C0D4A"/>
    <w:rsid w:val="005D249E"/>
    <w:rsid w:val="005D4105"/>
    <w:rsid w:val="005E27D7"/>
    <w:rsid w:val="005F3480"/>
    <w:rsid w:val="00606EAE"/>
    <w:rsid w:val="00614DDD"/>
    <w:rsid w:val="00616347"/>
    <w:rsid w:val="00621BAF"/>
    <w:rsid w:val="00647186"/>
    <w:rsid w:val="006612B6"/>
    <w:rsid w:val="00671786"/>
    <w:rsid w:val="00671840"/>
    <w:rsid w:val="00676419"/>
    <w:rsid w:val="00682A31"/>
    <w:rsid w:val="006A1794"/>
    <w:rsid w:val="006C135C"/>
    <w:rsid w:val="006C5177"/>
    <w:rsid w:val="006E454A"/>
    <w:rsid w:val="006E4753"/>
    <w:rsid w:val="006F682A"/>
    <w:rsid w:val="00701197"/>
    <w:rsid w:val="007014A7"/>
    <w:rsid w:val="00723B19"/>
    <w:rsid w:val="00725ECB"/>
    <w:rsid w:val="00727850"/>
    <w:rsid w:val="007840B3"/>
    <w:rsid w:val="007A52BE"/>
    <w:rsid w:val="007D45E9"/>
    <w:rsid w:val="007D4D51"/>
    <w:rsid w:val="0081114E"/>
    <w:rsid w:val="00817285"/>
    <w:rsid w:val="008215B9"/>
    <w:rsid w:val="00823282"/>
    <w:rsid w:val="00824172"/>
    <w:rsid w:val="00844B86"/>
    <w:rsid w:val="008502CA"/>
    <w:rsid w:val="00870636"/>
    <w:rsid w:val="00876567"/>
    <w:rsid w:val="00896296"/>
    <w:rsid w:val="008A6C2E"/>
    <w:rsid w:val="008B28D9"/>
    <w:rsid w:val="008C2E0B"/>
    <w:rsid w:val="008C602B"/>
    <w:rsid w:val="008E3298"/>
    <w:rsid w:val="008F12AD"/>
    <w:rsid w:val="0090168F"/>
    <w:rsid w:val="00912BD8"/>
    <w:rsid w:val="009217C6"/>
    <w:rsid w:val="00933BE6"/>
    <w:rsid w:val="009402C8"/>
    <w:rsid w:val="009564CB"/>
    <w:rsid w:val="009818FB"/>
    <w:rsid w:val="00982882"/>
    <w:rsid w:val="009A61E7"/>
    <w:rsid w:val="009C20A7"/>
    <w:rsid w:val="00A04F8C"/>
    <w:rsid w:val="00A122D3"/>
    <w:rsid w:val="00A13D1C"/>
    <w:rsid w:val="00A26AC0"/>
    <w:rsid w:val="00A40425"/>
    <w:rsid w:val="00A6109B"/>
    <w:rsid w:val="00A7140F"/>
    <w:rsid w:val="00A9585B"/>
    <w:rsid w:val="00A95BEA"/>
    <w:rsid w:val="00AB5425"/>
    <w:rsid w:val="00AB7992"/>
    <w:rsid w:val="00AC250E"/>
    <w:rsid w:val="00AC6675"/>
    <w:rsid w:val="00AF6219"/>
    <w:rsid w:val="00B03370"/>
    <w:rsid w:val="00B10C26"/>
    <w:rsid w:val="00B15D99"/>
    <w:rsid w:val="00B20BEF"/>
    <w:rsid w:val="00B33CDD"/>
    <w:rsid w:val="00B42417"/>
    <w:rsid w:val="00B42D7A"/>
    <w:rsid w:val="00B51528"/>
    <w:rsid w:val="00B7486F"/>
    <w:rsid w:val="00B76222"/>
    <w:rsid w:val="00B818A8"/>
    <w:rsid w:val="00B841B6"/>
    <w:rsid w:val="00B84FD9"/>
    <w:rsid w:val="00B945FB"/>
    <w:rsid w:val="00BC085D"/>
    <w:rsid w:val="00BC1BBD"/>
    <w:rsid w:val="00BD726D"/>
    <w:rsid w:val="00BE62F2"/>
    <w:rsid w:val="00BF302D"/>
    <w:rsid w:val="00C24283"/>
    <w:rsid w:val="00C34188"/>
    <w:rsid w:val="00C365F8"/>
    <w:rsid w:val="00C47C62"/>
    <w:rsid w:val="00C545DE"/>
    <w:rsid w:val="00C60DCB"/>
    <w:rsid w:val="00C766CD"/>
    <w:rsid w:val="00C92445"/>
    <w:rsid w:val="00CA28E6"/>
    <w:rsid w:val="00CB37FF"/>
    <w:rsid w:val="00CB42E2"/>
    <w:rsid w:val="00CC0C5A"/>
    <w:rsid w:val="00CF24B5"/>
    <w:rsid w:val="00CF402E"/>
    <w:rsid w:val="00D11274"/>
    <w:rsid w:val="00D23485"/>
    <w:rsid w:val="00D36CBA"/>
    <w:rsid w:val="00D46CC0"/>
    <w:rsid w:val="00D513DB"/>
    <w:rsid w:val="00D813E1"/>
    <w:rsid w:val="00DA5E55"/>
    <w:rsid w:val="00DD2234"/>
    <w:rsid w:val="00DF0E23"/>
    <w:rsid w:val="00E05DC4"/>
    <w:rsid w:val="00E457AD"/>
    <w:rsid w:val="00E528A4"/>
    <w:rsid w:val="00EB36AB"/>
    <w:rsid w:val="00EB6D9F"/>
    <w:rsid w:val="00EB731D"/>
    <w:rsid w:val="00ED5AFB"/>
    <w:rsid w:val="00EE691C"/>
    <w:rsid w:val="00F06CC2"/>
    <w:rsid w:val="00F20D13"/>
    <w:rsid w:val="00F2761D"/>
    <w:rsid w:val="00F4781C"/>
    <w:rsid w:val="00F74A61"/>
    <w:rsid w:val="00F872BA"/>
    <w:rsid w:val="00FC50DC"/>
    <w:rsid w:val="00FC6321"/>
    <w:rsid w:val="00FD541C"/>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sz w:val="22"/>
      <w:szCs w:val="22"/>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rPr>
  </w:style>
  <w:style w:type="paragraph" w:styleId="Nagwek2">
    <w:name w:val="heading 2"/>
    <w:basedOn w:val="Normalny"/>
    <w:next w:val="Normalny"/>
    <w:link w:val="Nagwek2Znak"/>
    <w:unhideWhenUsed/>
    <w:qFormat/>
    <w:locked/>
    <w:rsid w:val="00BC1BBD"/>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Akapit z listą BS,Kolorowa lista — akcent 11"/>
    <w:basedOn w:val="Normalny"/>
    <w:link w:val="AkapitzlistZnak"/>
    <w:uiPriority w:val="34"/>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Akapit z listą BS Znak,Kolorowa lista — akcent 11 Znak"/>
    <w:link w:val="Akapitzlist"/>
    <w:uiPriority w:val="99"/>
    <w:locked/>
    <w:rsid w:val="009818FB"/>
    <w:rPr>
      <w:rFonts w:ascii="Calibri" w:hAnsi="Calibri"/>
      <w:sz w:val="22"/>
      <w:lang w:val="pl-PL" w:eastAsia="en-US"/>
    </w:rPr>
  </w:style>
  <w:style w:type="paragraph" w:styleId="NormalnyWeb">
    <w:name w:val="Normal (Web)"/>
    <w:basedOn w:val="Normalny"/>
    <w:uiPriority w:val="99"/>
    <w:semiHidden/>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 w:type="paragraph" w:styleId="Nagwek">
    <w:name w:val="header"/>
    <w:basedOn w:val="Normalny"/>
    <w:link w:val="NagwekZnak"/>
    <w:uiPriority w:val="99"/>
    <w:semiHidden/>
    <w:unhideWhenUsed/>
    <w:rsid w:val="00844B86"/>
    <w:pPr>
      <w:tabs>
        <w:tab w:val="center" w:pos="4536"/>
        <w:tab w:val="right" w:pos="9072"/>
      </w:tabs>
    </w:pPr>
  </w:style>
  <w:style w:type="character" w:customStyle="1" w:styleId="NagwekZnak">
    <w:name w:val="Nagłówek Znak"/>
    <w:basedOn w:val="Domylnaczcionkaakapitu"/>
    <w:link w:val="Nagwek"/>
    <w:uiPriority w:val="99"/>
    <w:semiHidden/>
    <w:rsid w:val="00844B86"/>
    <w:rPr>
      <w:lang w:eastAsia="en-US"/>
    </w:rPr>
  </w:style>
  <w:style w:type="paragraph" w:styleId="Stopka">
    <w:name w:val="footer"/>
    <w:basedOn w:val="Normalny"/>
    <w:link w:val="StopkaZnak"/>
    <w:uiPriority w:val="99"/>
    <w:semiHidden/>
    <w:unhideWhenUsed/>
    <w:rsid w:val="00844B86"/>
    <w:pPr>
      <w:tabs>
        <w:tab w:val="center" w:pos="4536"/>
        <w:tab w:val="right" w:pos="9072"/>
      </w:tabs>
    </w:pPr>
  </w:style>
  <w:style w:type="character" w:customStyle="1" w:styleId="StopkaZnak">
    <w:name w:val="Stopka Znak"/>
    <w:basedOn w:val="Domylnaczcionkaakapitu"/>
    <w:link w:val="Stopka"/>
    <w:uiPriority w:val="99"/>
    <w:semiHidden/>
    <w:rsid w:val="00844B86"/>
    <w:rPr>
      <w:lang w:eastAsia="en-US"/>
    </w:rPr>
  </w:style>
  <w:style w:type="character" w:customStyle="1" w:styleId="Nagwek2Znak">
    <w:name w:val="Nagłówek 2 Znak"/>
    <w:basedOn w:val="Domylnaczcionkaakapitu"/>
    <w:link w:val="Nagwek2"/>
    <w:rsid w:val="00BC1BBD"/>
    <w:rPr>
      <w:rFonts w:asciiTheme="majorHAnsi" w:eastAsiaTheme="majorEastAsia" w:hAnsiTheme="majorHAnsi" w:cstheme="majorBidi"/>
      <w:b/>
      <w:bCs/>
      <w:i/>
      <w:iCs/>
      <w:sz w:val="28"/>
      <w:szCs w:val="28"/>
      <w:lang w:eastAsia="en-US"/>
    </w:rPr>
  </w:style>
  <w:style w:type="paragraph" w:styleId="Tekstdymka">
    <w:name w:val="Balloon Text"/>
    <w:basedOn w:val="Normalny"/>
    <w:link w:val="TekstdymkaZnak"/>
    <w:uiPriority w:val="99"/>
    <w:semiHidden/>
    <w:unhideWhenUsed/>
    <w:rsid w:val="006F6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68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82431">
      <w:marLeft w:val="0"/>
      <w:marRight w:val="0"/>
      <w:marTop w:val="0"/>
      <w:marBottom w:val="0"/>
      <w:divBdr>
        <w:top w:val="none" w:sz="0" w:space="0" w:color="auto"/>
        <w:left w:val="none" w:sz="0" w:space="0" w:color="auto"/>
        <w:bottom w:val="none" w:sz="0" w:space="0" w:color="auto"/>
        <w:right w:val="none" w:sz="0" w:space="0" w:color="auto"/>
      </w:divBdr>
    </w:div>
    <w:div w:id="6182435">
      <w:marLeft w:val="0"/>
      <w:marRight w:val="0"/>
      <w:marTop w:val="0"/>
      <w:marBottom w:val="0"/>
      <w:divBdr>
        <w:top w:val="none" w:sz="0" w:space="0" w:color="auto"/>
        <w:left w:val="none" w:sz="0" w:space="0" w:color="auto"/>
        <w:bottom w:val="none" w:sz="0" w:space="0" w:color="auto"/>
        <w:right w:val="none" w:sz="0" w:space="0" w:color="auto"/>
      </w:divBdr>
      <w:divsChild>
        <w:div w:id="6182434">
          <w:marLeft w:val="0"/>
          <w:marRight w:val="0"/>
          <w:marTop w:val="0"/>
          <w:marBottom w:val="0"/>
          <w:divBdr>
            <w:top w:val="none" w:sz="0" w:space="0" w:color="auto"/>
            <w:left w:val="none" w:sz="0" w:space="0" w:color="auto"/>
            <w:bottom w:val="none" w:sz="0" w:space="0" w:color="auto"/>
            <w:right w:val="none" w:sz="0" w:space="0" w:color="auto"/>
          </w:divBdr>
          <w:divsChild>
            <w:div w:id="6182433">
              <w:marLeft w:val="0"/>
              <w:marRight w:val="0"/>
              <w:marTop w:val="0"/>
              <w:marBottom w:val="0"/>
              <w:divBdr>
                <w:top w:val="none" w:sz="0" w:space="0" w:color="auto"/>
                <w:left w:val="none" w:sz="0" w:space="0" w:color="auto"/>
                <w:bottom w:val="none" w:sz="0" w:space="0" w:color="auto"/>
                <w:right w:val="none" w:sz="0" w:space="0" w:color="auto"/>
              </w:divBdr>
              <w:divsChild>
                <w:div w:id="6182432">
                  <w:marLeft w:val="0"/>
                  <w:marRight w:val="0"/>
                  <w:marTop w:val="0"/>
                  <w:marBottom w:val="0"/>
                  <w:divBdr>
                    <w:top w:val="none" w:sz="0" w:space="0" w:color="auto"/>
                    <w:left w:val="none" w:sz="0" w:space="0" w:color="auto"/>
                    <w:bottom w:val="none" w:sz="0" w:space="0" w:color="auto"/>
                    <w:right w:val="none" w:sz="0" w:space="0" w:color="auto"/>
                  </w:divBdr>
                </w:div>
                <w:div w:id="6182436">
                  <w:marLeft w:val="0"/>
                  <w:marRight w:val="0"/>
                  <w:marTop w:val="0"/>
                  <w:marBottom w:val="0"/>
                  <w:divBdr>
                    <w:top w:val="none" w:sz="0" w:space="0" w:color="auto"/>
                    <w:left w:val="none" w:sz="0" w:space="0" w:color="auto"/>
                    <w:bottom w:val="none" w:sz="0" w:space="0" w:color="auto"/>
                    <w:right w:val="none" w:sz="0" w:space="0" w:color="auto"/>
                  </w:divBdr>
                </w:div>
                <w:div w:id="6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900">
      <w:bodyDiv w:val="1"/>
      <w:marLeft w:val="0"/>
      <w:marRight w:val="0"/>
      <w:marTop w:val="0"/>
      <w:marBottom w:val="0"/>
      <w:divBdr>
        <w:top w:val="none" w:sz="0" w:space="0" w:color="auto"/>
        <w:left w:val="none" w:sz="0" w:space="0" w:color="auto"/>
        <w:bottom w:val="none" w:sz="0" w:space="0" w:color="auto"/>
        <w:right w:val="none" w:sz="0" w:space="0" w:color="auto"/>
      </w:divBdr>
    </w:div>
    <w:div w:id="432014898">
      <w:bodyDiv w:val="1"/>
      <w:marLeft w:val="0"/>
      <w:marRight w:val="0"/>
      <w:marTop w:val="0"/>
      <w:marBottom w:val="0"/>
      <w:divBdr>
        <w:top w:val="none" w:sz="0" w:space="0" w:color="auto"/>
        <w:left w:val="none" w:sz="0" w:space="0" w:color="auto"/>
        <w:bottom w:val="none" w:sz="0" w:space="0" w:color="auto"/>
        <w:right w:val="none" w:sz="0" w:space="0" w:color="auto"/>
      </w:divBdr>
    </w:div>
    <w:div w:id="897058977">
      <w:bodyDiv w:val="1"/>
      <w:marLeft w:val="0"/>
      <w:marRight w:val="0"/>
      <w:marTop w:val="0"/>
      <w:marBottom w:val="0"/>
      <w:divBdr>
        <w:top w:val="none" w:sz="0" w:space="0" w:color="auto"/>
        <w:left w:val="none" w:sz="0" w:space="0" w:color="auto"/>
        <w:bottom w:val="none" w:sz="0" w:space="0" w:color="auto"/>
        <w:right w:val="none" w:sz="0" w:space="0" w:color="auto"/>
      </w:divBdr>
    </w:div>
    <w:div w:id="1044133321">
      <w:bodyDiv w:val="1"/>
      <w:marLeft w:val="0"/>
      <w:marRight w:val="0"/>
      <w:marTop w:val="0"/>
      <w:marBottom w:val="0"/>
      <w:divBdr>
        <w:top w:val="none" w:sz="0" w:space="0" w:color="auto"/>
        <w:left w:val="none" w:sz="0" w:space="0" w:color="auto"/>
        <w:bottom w:val="none" w:sz="0" w:space="0" w:color="auto"/>
        <w:right w:val="none" w:sz="0" w:space="0" w:color="auto"/>
      </w:divBdr>
    </w:div>
    <w:div w:id="15667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2025</Words>
  <Characters>12151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jm</cp:lastModifiedBy>
  <cp:revision>3</cp:revision>
  <cp:lastPrinted>2021-01-15T09:42:00Z</cp:lastPrinted>
  <dcterms:created xsi:type="dcterms:W3CDTF">2021-01-15T09:42:00Z</dcterms:created>
  <dcterms:modified xsi:type="dcterms:W3CDTF">2021-01-15T09:48:00Z</dcterms:modified>
</cp:coreProperties>
</file>