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r w:rsidRPr="009E43B6">
              <w:rPr>
                <w:rFonts w:cs="Arial"/>
                <w:sz w:val="20"/>
                <w:szCs w:val="20"/>
              </w:rPr>
              <w:t>Polska</w:t>
            </w:r>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B6027F"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921687">
        <w:rPr>
          <w:rFonts w:ascii="Times New Roman" w:hAnsi="Times New Roman"/>
          <w:b/>
          <w:sz w:val="24"/>
          <w:szCs w:val="24"/>
        </w:rPr>
        <w:t>ZP.271.1.33</w:t>
      </w:r>
      <w:r w:rsidR="007E7D98">
        <w:rPr>
          <w:rFonts w:ascii="Times New Roman" w:hAnsi="Times New Roman"/>
          <w:b/>
          <w:sz w:val="24"/>
          <w:szCs w:val="24"/>
        </w:rPr>
        <w:t>.2020</w:t>
      </w:r>
      <w:r w:rsidR="003A113C">
        <w:rPr>
          <w:rFonts w:ascii="Times New Roman" w:hAnsi="Times New Roman"/>
          <w:b/>
          <w:sz w:val="24"/>
          <w:szCs w:val="24"/>
        </w:rPr>
        <w:t>.EP</w:t>
      </w:r>
    </w:p>
    <w:p w:rsidR="00B059E2"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AE3344" w:rsidRDefault="00AE3344" w:rsidP="00046C54">
      <w:pPr>
        <w:autoSpaceDE w:val="0"/>
        <w:autoSpaceDN w:val="0"/>
        <w:adjustRightInd w:val="0"/>
        <w:spacing w:after="120"/>
        <w:jc w:val="center"/>
        <w:rPr>
          <w:rFonts w:ascii="Times New Roman" w:hAnsi="Times New Roman"/>
          <w:b/>
          <w:bCs/>
          <w:sz w:val="24"/>
          <w:szCs w:val="24"/>
        </w:rPr>
      </w:pPr>
    </w:p>
    <w:p w:rsidR="00AE3344" w:rsidRPr="00AE3344" w:rsidRDefault="00AE3344" w:rsidP="00AE3344">
      <w:pPr>
        <w:spacing w:line="276" w:lineRule="auto"/>
        <w:jc w:val="both"/>
        <w:rPr>
          <w:rFonts w:eastAsiaTheme="minorHAnsi"/>
          <w:i/>
        </w:rPr>
      </w:pPr>
      <w:r>
        <w:rPr>
          <w:rFonts w:eastAsiaTheme="minorHAnsi"/>
          <w:i/>
        </w:rPr>
        <w:t xml:space="preserve">Przebudowa budynków stolarni wraz ze zmianą sposobu użytkowania na potrzeby muzeum ziemi koneckiej w ramach zadania „Rewitalizacja obszarów miasta Końskie (rewitalizacja centrum, przebudowa Parku Miejskiego, w tym Ogródka Jordanowskiego)” na działkach nr </w:t>
      </w:r>
      <w:proofErr w:type="spellStart"/>
      <w:r>
        <w:rPr>
          <w:rFonts w:eastAsiaTheme="minorHAnsi"/>
          <w:i/>
        </w:rPr>
        <w:t>ewid</w:t>
      </w:r>
      <w:proofErr w:type="spellEnd"/>
      <w:r>
        <w:rPr>
          <w:rFonts w:eastAsiaTheme="minorHAnsi"/>
          <w:i/>
        </w:rPr>
        <w:t>. 5188/2, 5189 i 5182/7  obręb 2 w Końskich przy ul. Partyzantów.</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001D3F48">
        <w:rPr>
          <w:rFonts w:ascii="Times New Roman" w:hAnsi="Times New Roman"/>
          <w:sz w:val="24"/>
        </w:rPr>
        <w:t xml:space="preserve"> ze zm.</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921687" w:rsidP="00F35C32">
      <w:pPr>
        <w:rPr>
          <w:rFonts w:ascii="Times New Roman" w:hAnsi="Times New Roman"/>
          <w:sz w:val="20"/>
          <w:szCs w:val="20"/>
        </w:rPr>
      </w:pPr>
      <w:r>
        <w:rPr>
          <w:rFonts w:ascii="Times New Roman" w:hAnsi="Times New Roman"/>
          <w:sz w:val="20"/>
          <w:szCs w:val="20"/>
        </w:rPr>
        <w:t xml:space="preserve">Karol Bielecki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F82DD3">
        <w:rPr>
          <w:rFonts w:cs="Arial"/>
          <w:sz w:val="20"/>
        </w:rPr>
        <w:t>………………..</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09292A"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 xml:space="preserve">Przedmiot </w:t>
      </w:r>
      <w:proofErr w:type="spellStart"/>
      <w:r w:rsidRPr="00E72599">
        <w:rPr>
          <w:rFonts w:ascii="Times New Roman" w:hAnsi="Times New Roman" w:cs="Times New Roman"/>
          <w:b/>
          <w:bCs/>
          <w:sz w:val="24"/>
          <w:szCs w:val="24"/>
        </w:rPr>
        <w:t>zamówienia</w:t>
      </w:r>
      <w:proofErr w:type="spellEnd"/>
      <w:r w:rsidRPr="00E72599">
        <w:rPr>
          <w:rFonts w:ascii="Times New Roman" w:hAnsi="Times New Roman" w:cs="Times New Roman"/>
          <w:b/>
          <w:bCs/>
          <w:sz w:val="24"/>
          <w:szCs w:val="24"/>
        </w:rPr>
        <w:t>.</w:t>
      </w:r>
    </w:p>
    <w:p w:rsidR="00921687" w:rsidRPr="00921687" w:rsidRDefault="00921687" w:rsidP="00921687">
      <w:pPr>
        <w:spacing w:line="276" w:lineRule="auto"/>
        <w:jc w:val="both"/>
        <w:rPr>
          <w:rFonts w:ascii="Times New Roman" w:eastAsiaTheme="minorHAnsi" w:hAnsi="Times New Roman"/>
          <w:color w:val="000000"/>
        </w:rPr>
      </w:pPr>
      <w:r w:rsidRPr="00921687">
        <w:rPr>
          <w:rFonts w:ascii="Times New Roman" w:eastAsiaTheme="minorHAnsi" w:hAnsi="Times New Roman"/>
          <w:color w:val="000000"/>
        </w:rPr>
        <w:t xml:space="preserve">Przedmiotem </w:t>
      </w:r>
      <w:proofErr w:type="spellStart"/>
      <w:r w:rsidRPr="00921687">
        <w:rPr>
          <w:rFonts w:ascii="Times New Roman" w:eastAsiaTheme="minorHAnsi" w:hAnsi="Times New Roman"/>
          <w:color w:val="000000"/>
        </w:rPr>
        <w:t>zamówienia</w:t>
      </w:r>
      <w:proofErr w:type="spellEnd"/>
      <w:r w:rsidRPr="00921687">
        <w:rPr>
          <w:rFonts w:ascii="Times New Roman" w:eastAsiaTheme="minorHAnsi" w:hAnsi="Times New Roman"/>
          <w:color w:val="000000"/>
        </w:rPr>
        <w:t xml:space="preserve"> jest wykonanie przebudowy tzw. oficyny wschodniej, w skład której wchodzi budynek mieszkalny z bramą przejściową oraz budynek dawnej stolarni, a także wykonanie niezbędnej infrastruktury technicznej tj. przyłączy, sieci, instalacji zewnętrznych i wewnętrznych wodociągowej, kanalizacji sanitarnej, kanalizacji deszczowej, ciepłowniczej i centralnego ogrzewania, wentylacji mechanicznej, elektrycznej, teletechnicznej, okablowania strukturalnego, odgromowej, oświetlenia terenu, </w:t>
      </w:r>
      <w:proofErr w:type="spellStart"/>
      <w:r w:rsidRPr="00921687">
        <w:rPr>
          <w:rFonts w:ascii="Times New Roman" w:eastAsiaTheme="minorHAnsi" w:hAnsi="Times New Roman"/>
          <w:color w:val="000000"/>
        </w:rPr>
        <w:t>przyzywowej</w:t>
      </w:r>
      <w:proofErr w:type="spellEnd"/>
      <w:r w:rsidRPr="00921687">
        <w:rPr>
          <w:rFonts w:ascii="Times New Roman" w:eastAsiaTheme="minorHAnsi" w:hAnsi="Times New Roman"/>
          <w:color w:val="000000"/>
        </w:rPr>
        <w:t xml:space="preserve">, telewizji dozorowej, systemu sygnalizacji włamania, systemu sygnalizacji pożaru, oraz wykonanie parkingu na 71 miejsc dla samochodów osobowych i 2 miejsc dla autokarów, a także rozbiórkę obiektów budowlanych w ramach przedsięwzięcia „Rewitalizacja obszarów miasta Końskie (rewitalizacja centrum, przebudowa Parku Miejskiego, w tym Ogródka Jordanowskiego)” na działkach nr </w:t>
      </w:r>
      <w:proofErr w:type="spellStart"/>
      <w:r w:rsidRPr="00921687">
        <w:rPr>
          <w:rFonts w:ascii="Times New Roman" w:eastAsiaTheme="minorHAnsi" w:hAnsi="Times New Roman"/>
          <w:color w:val="000000"/>
        </w:rPr>
        <w:t>ewid</w:t>
      </w:r>
      <w:proofErr w:type="spellEnd"/>
      <w:r w:rsidRPr="00921687">
        <w:rPr>
          <w:rFonts w:ascii="Times New Roman" w:eastAsiaTheme="minorHAnsi" w:hAnsi="Times New Roman"/>
          <w:color w:val="000000"/>
        </w:rPr>
        <w:t xml:space="preserve">. 5188/2, 5189 i 5182/7, obręb 2 w Końskich </w:t>
      </w:r>
      <w:proofErr w:type="spellStart"/>
      <w:r w:rsidRPr="00921687">
        <w:rPr>
          <w:rFonts w:ascii="Times New Roman" w:eastAsiaTheme="minorHAnsi" w:hAnsi="Times New Roman"/>
          <w:color w:val="000000"/>
        </w:rPr>
        <w:t>przyul</w:t>
      </w:r>
      <w:proofErr w:type="spellEnd"/>
      <w:r w:rsidRPr="00921687">
        <w:rPr>
          <w:rFonts w:ascii="Times New Roman" w:eastAsiaTheme="minorHAnsi" w:hAnsi="Times New Roman"/>
          <w:color w:val="000000"/>
        </w:rPr>
        <w:t>. Partyzantów.</w:t>
      </w:r>
    </w:p>
    <w:p w:rsidR="00921687" w:rsidRDefault="00921687" w:rsidP="0009292A">
      <w:pPr>
        <w:pStyle w:val="Standard"/>
        <w:rPr>
          <w:rFonts w:ascii="Times New Roman" w:hAnsi="Times New Roman" w:cs="Times New Roman"/>
          <w:b/>
          <w:bCs/>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Szczegółowy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xml:space="preserve">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Zgodnie z art. 30 ust. 5 ustawy Prawo zamówień publicznych, wykonawca, który powołuje się na rozwiązania równoważne opisywanym przez zamawiającego, jest obowiązany </w:t>
      </w:r>
      <w:r w:rsidRPr="00E34283">
        <w:rPr>
          <w:rFonts w:ascii="Times New Roman" w:hAnsi="Times New Roman"/>
          <w:sz w:val="24"/>
          <w:szCs w:val="24"/>
        </w:rPr>
        <w:lastRenderedPageBreak/>
        <w:t xml:space="preserve">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8138AD" w:rsidRPr="0088229A" w:rsidRDefault="008138AD" w:rsidP="008138AD">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Roboty w zakresie przygotowania terenu i roboty ziemne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45111300-1 Roboty rozbiórkowe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45262210-6 Fundamentowanie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45261000-4 Wykonywanie pokryć i </w:t>
      </w:r>
      <w:proofErr w:type="spellStart"/>
      <w:r w:rsidRPr="0088229A">
        <w:rPr>
          <w:rFonts w:ascii="Times New Roman" w:hAnsi="Times New Roman"/>
          <w:bCs/>
          <w:sz w:val="24"/>
          <w:szCs w:val="24"/>
        </w:rPr>
        <w:t>konstrukcji</w:t>
      </w:r>
      <w:proofErr w:type="spellEnd"/>
      <w:r w:rsidRPr="0088229A">
        <w:rPr>
          <w:rFonts w:ascii="Times New Roman" w:hAnsi="Times New Roman"/>
          <w:bCs/>
          <w:sz w:val="24"/>
          <w:szCs w:val="24"/>
        </w:rPr>
        <w:t xml:space="preserve"> dachowych oraz podobne roboty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45262400-5 wznoszenie </w:t>
      </w:r>
      <w:proofErr w:type="spellStart"/>
      <w:r w:rsidRPr="0088229A">
        <w:rPr>
          <w:rFonts w:ascii="Times New Roman" w:hAnsi="Times New Roman"/>
          <w:bCs/>
          <w:sz w:val="24"/>
          <w:szCs w:val="24"/>
        </w:rPr>
        <w:t>konstrukcji</w:t>
      </w:r>
      <w:proofErr w:type="spellEnd"/>
      <w:r w:rsidRPr="0088229A">
        <w:rPr>
          <w:rFonts w:ascii="Times New Roman" w:hAnsi="Times New Roman"/>
          <w:bCs/>
          <w:sz w:val="24"/>
          <w:szCs w:val="24"/>
        </w:rPr>
        <w:t xml:space="preserve"> ze stali konstrukcyjnej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45262520-2 Roboty murowe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45400000-1 roboty wykończeniowe w zakresie obiektów budowlanych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45231400-9 roboty budowlane w zakresie budowy linii energetycznych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45311000-0 roboty w zakresie okablowania oraz instalacje elektryczne</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45231300-8 roboty budowlane w zakresie budowy wodociągów i rurociągów do odprowadzania ścieków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45232410-9 Przyłącza i sieci kanalizacyjne-roboty w zakresie kanalizacji ściekowej   </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45332000-3 Instalacje sanitarne- roboty instalacyjne wodne i kanalizacyjne</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45233226-9 Roboty w obrębie nawierzchni- roboty budowlane w zakresie dróg dojazdowych</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45112711-2 Zagospodarowanie zielenią- roboty w zakresie kształtowania parków</w:t>
      </w:r>
    </w:p>
    <w:p w:rsidR="008138AD" w:rsidRPr="0088229A" w:rsidRDefault="008138AD" w:rsidP="008138AD">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45223800-4- montaż i wznoszenie gotowych </w:t>
      </w:r>
      <w:proofErr w:type="spellStart"/>
      <w:r w:rsidRPr="0088229A">
        <w:rPr>
          <w:rFonts w:ascii="Times New Roman" w:hAnsi="Times New Roman"/>
          <w:bCs/>
          <w:sz w:val="24"/>
          <w:szCs w:val="24"/>
        </w:rPr>
        <w:t>konstrukcji</w:t>
      </w:r>
      <w:proofErr w:type="spellEnd"/>
    </w:p>
    <w:p w:rsidR="008138AD" w:rsidRPr="00E34283" w:rsidRDefault="008138AD" w:rsidP="008138AD">
      <w:pPr>
        <w:tabs>
          <w:tab w:val="left" w:pos="426"/>
        </w:tabs>
        <w:spacing w:after="0" w:line="240" w:lineRule="auto"/>
        <w:ind w:left="357" w:hanging="578"/>
        <w:jc w:val="both"/>
        <w:rPr>
          <w:rFonts w:ascii="Times New Roman" w:hAnsi="Times New Roman"/>
          <w:b/>
          <w:sz w:val="24"/>
          <w:szCs w:val="24"/>
        </w:rPr>
      </w:pPr>
    </w:p>
    <w:p w:rsidR="00875C83" w:rsidRPr="00E34283" w:rsidRDefault="00875C83" w:rsidP="00367322">
      <w:pPr>
        <w:tabs>
          <w:tab w:val="left" w:pos="426"/>
        </w:tabs>
        <w:spacing w:after="0" w:line="240" w:lineRule="auto"/>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72599" w:rsidRDefault="00B059E2" w:rsidP="00E72599">
      <w:pPr>
        <w:pStyle w:val="Akapitzlist"/>
        <w:tabs>
          <w:tab w:val="left" w:pos="426"/>
          <w:tab w:val="left" w:pos="1800"/>
        </w:tabs>
        <w:spacing w:before="60" w:after="60"/>
        <w:ind w:left="0"/>
        <w:jc w:val="both"/>
        <w:rPr>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zamówienia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D70DBC">
        <w:rPr>
          <w:i/>
        </w:rPr>
        <w:t>Rewitalizacja rynku w Końskich</w:t>
      </w: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lastRenderedPageBreak/>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001D3F48">
        <w:rPr>
          <w:rFonts w:ascii="Times New Roman" w:hAnsi="Times New Roman"/>
          <w:sz w:val="24"/>
          <w:szCs w:val="24"/>
        </w:rPr>
        <w:t xml:space="preserve"> ze zm. </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zamówienia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pkt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o których mowa w art. 67 ust.1 pkt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Akapitzlist"/>
        <w:jc w:val="both"/>
        <w:rPr>
          <w:rFonts w:ascii="Times New Roman" w:hAnsi="Times New Roman"/>
          <w:b/>
          <w:sz w:val="24"/>
          <w:szCs w:val="24"/>
          <w:lang w:eastAsia="pl-PL"/>
        </w:rPr>
      </w:pPr>
    </w:p>
    <w:p w:rsidR="00F82DD3" w:rsidRDefault="00B059E2" w:rsidP="00F82DD3">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921687">
        <w:rPr>
          <w:rFonts w:ascii="Times New Roman" w:hAnsi="Times New Roman"/>
          <w:sz w:val="24"/>
          <w:szCs w:val="24"/>
          <w:lang w:eastAsia="pl-PL"/>
        </w:rPr>
        <w:t>27.01.2023</w:t>
      </w:r>
    </w:p>
    <w:p w:rsidR="00B059E2" w:rsidRPr="00614B57" w:rsidRDefault="00B059E2" w:rsidP="00F82DD3">
      <w:pPr>
        <w:pStyle w:val="Akapitzlist"/>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2"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2"/>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3"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921687" w:rsidRPr="00921687" w:rsidRDefault="00AA50D6" w:rsidP="00921687">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zamówienia tj. </w:t>
      </w:r>
      <w:r w:rsidR="00921687" w:rsidRPr="00204792">
        <w:rPr>
          <w:lang w:eastAsia="ar-SA"/>
        </w:rPr>
        <w:t>Dysponowanie co najmniej jedną osobą:</w:t>
      </w:r>
    </w:p>
    <w:p w:rsidR="00921687" w:rsidRPr="00204792" w:rsidRDefault="00921687" w:rsidP="00921687">
      <w:pPr>
        <w:numPr>
          <w:ilvl w:val="0"/>
          <w:numId w:val="44"/>
        </w:numPr>
        <w:suppressAutoHyphens/>
        <w:spacing w:after="0" w:line="276" w:lineRule="auto"/>
        <w:jc w:val="both"/>
        <w:rPr>
          <w:color w:val="000000"/>
          <w:lang w:eastAsia="ar-SA"/>
        </w:rPr>
      </w:pPr>
      <w:r>
        <w:rPr>
          <w:color w:val="000000"/>
          <w:lang w:eastAsia="ar-SA"/>
        </w:rPr>
        <w:t>posiadającą uprawnienia budow</w:t>
      </w:r>
      <w:r w:rsidRPr="00204792">
        <w:rPr>
          <w:color w:val="000000"/>
          <w:lang w:eastAsia="ar-SA"/>
        </w:rPr>
        <w:t>l</w:t>
      </w:r>
      <w:r>
        <w:rPr>
          <w:color w:val="000000"/>
          <w:lang w:eastAsia="ar-SA"/>
        </w:rPr>
        <w:t>a</w:t>
      </w:r>
      <w:r w:rsidRPr="00204792">
        <w:rPr>
          <w:color w:val="000000"/>
          <w:lang w:eastAsia="ar-SA"/>
        </w:rPr>
        <w:t>ne do ki</w:t>
      </w:r>
      <w:r>
        <w:rPr>
          <w:color w:val="000000"/>
          <w:lang w:eastAsia="ar-SA"/>
        </w:rPr>
        <w:t xml:space="preserve">erowania robotami budowlanymi </w:t>
      </w:r>
      <w:r w:rsidRPr="00204792">
        <w:rPr>
          <w:color w:val="000000"/>
          <w:lang w:eastAsia="ar-SA"/>
        </w:rPr>
        <w:t>w specjalności konstrukcyjno-budowlanej bez ograniczeń, (lub odpowiadającymi im równoważnymi uprawnieniami wydanymi na podstawie wcześniejszych przepisów), która będzie pełniła funkcję Kierownika Budowy</w:t>
      </w:r>
    </w:p>
    <w:p w:rsidR="00921687" w:rsidRPr="00204792" w:rsidRDefault="00921687" w:rsidP="00921687">
      <w:pPr>
        <w:numPr>
          <w:ilvl w:val="0"/>
          <w:numId w:val="44"/>
        </w:numPr>
        <w:suppressAutoHyphens/>
        <w:spacing w:after="0" w:line="276" w:lineRule="auto"/>
        <w:jc w:val="both"/>
        <w:rPr>
          <w:color w:val="000000"/>
          <w:lang w:eastAsia="ar-SA"/>
        </w:rPr>
      </w:pPr>
      <w:r>
        <w:rPr>
          <w:color w:val="000000"/>
          <w:lang w:eastAsia="ar-SA"/>
        </w:rPr>
        <w:t>posiadającą uprawnienia budow</w:t>
      </w:r>
      <w:r w:rsidRPr="00204792">
        <w:rPr>
          <w:color w:val="000000"/>
          <w:lang w:eastAsia="ar-SA"/>
        </w:rPr>
        <w:t>l</w:t>
      </w:r>
      <w:r>
        <w:rPr>
          <w:color w:val="000000"/>
          <w:lang w:eastAsia="ar-SA"/>
        </w:rPr>
        <w:t>ane do kierowania robotami budow</w:t>
      </w:r>
      <w:r w:rsidRPr="00204792">
        <w:rPr>
          <w:color w:val="000000"/>
          <w:lang w:eastAsia="ar-SA"/>
        </w:rPr>
        <w:t>l</w:t>
      </w:r>
      <w:r>
        <w:rPr>
          <w:color w:val="000000"/>
          <w:lang w:eastAsia="ar-SA"/>
        </w:rPr>
        <w:t>a</w:t>
      </w:r>
      <w:r w:rsidRPr="00204792">
        <w:rPr>
          <w:color w:val="000000"/>
          <w:lang w:eastAsia="ar-SA"/>
        </w:rPr>
        <w:t>nymi</w:t>
      </w:r>
      <w:r>
        <w:rPr>
          <w:color w:val="000000"/>
          <w:lang w:eastAsia="ar-SA"/>
        </w:rPr>
        <w:t xml:space="preserve"> </w:t>
      </w:r>
      <w:r w:rsidRPr="00204792">
        <w:rPr>
          <w:color w:val="000000"/>
          <w:lang w:eastAsia="ar-SA"/>
        </w:rPr>
        <w:t xml:space="preserve">w specjalności instalacyjnej w zakresie sieci, instalacji i urządzeń cieplnych, wentylacyjnych, gazowych, </w:t>
      </w:r>
      <w:r w:rsidRPr="00204792">
        <w:rPr>
          <w:color w:val="000000"/>
          <w:lang w:eastAsia="ar-SA"/>
        </w:rPr>
        <w:lastRenderedPageBreak/>
        <w:t xml:space="preserve">wodociągowych i kanalizacyjnych bez ograniczeń, (lub odpowiadającymi im równoważnymi uprawnieniami wydanymi na podstawie wcześniejszych przepisów), która będzie pełniła funkcję Kierownika </w:t>
      </w:r>
      <w:proofErr w:type="spellStart"/>
      <w:r w:rsidRPr="00204792">
        <w:rPr>
          <w:color w:val="000000"/>
          <w:lang w:eastAsia="ar-SA"/>
        </w:rPr>
        <w:t>robót</w:t>
      </w:r>
      <w:proofErr w:type="spellEnd"/>
      <w:r w:rsidRPr="00204792">
        <w:rPr>
          <w:color w:val="000000"/>
          <w:lang w:eastAsia="ar-SA"/>
        </w:rPr>
        <w:t xml:space="preserve"> sanitarnych,</w:t>
      </w:r>
    </w:p>
    <w:p w:rsidR="00921687" w:rsidRPr="00204792" w:rsidRDefault="00921687" w:rsidP="00921687">
      <w:pPr>
        <w:numPr>
          <w:ilvl w:val="0"/>
          <w:numId w:val="44"/>
        </w:numPr>
        <w:suppressAutoHyphens/>
        <w:spacing w:after="0" w:line="276" w:lineRule="auto"/>
        <w:jc w:val="both"/>
        <w:rPr>
          <w:color w:val="000000"/>
          <w:lang w:eastAsia="ar-SA"/>
        </w:rPr>
      </w:pPr>
      <w:r>
        <w:rPr>
          <w:color w:val="000000"/>
          <w:lang w:eastAsia="ar-SA"/>
        </w:rPr>
        <w:t>posiadającą uprawnienia budow</w:t>
      </w:r>
      <w:r w:rsidRPr="00204792">
        <w:rPr>
          <w:color w:val="000000"/>
          <w:lang w:eastAsia="ar-SA"/>
        </w:rPr>
        <w:t>l</w:t>
      </w:r>
      <w:r>
        <w:rPr>
          <w:color w:val="000000"/>
          <w:lang w:eastAsia="ar-SA"/>
        </w:rPr>
        <w:t>ane do kierowania robotami budow</w:t>
      </w:r>
      <w:r w:rsidRPr="00204792">
        <w:rPr>
          <w:color w:val="000000"/>
          <w:lang w:eastAsia="ar-SA"/>
        </w:rPr>
        <w:t>l</w:t>
      </w:r>
      <w:r>
        <w:rPr>
          <w:color w:val="000000"/>
          <w:lang w:eastAsia="ar-SA"/>
        </w:rPr>
        <w:t>a</w:t>
      </w:r>
      <w:r w:rsidRPr="00204792">
        <w:rPr>
          <w:color w:val="000000"/>
          <w:lang w:eastAsia="ar-SA"/>
        </w:rPr>
        <w:t>nymi  w specjalności instalacyjnej w zakresie sieci, instalacji i urządzeń elektrycznych  i elektroenergetycznych</w:t>
      </w:r>
      <w:r>
        <w:rPr>
          <w:color w:val="000000"/>
          <w:lang w:eastAsia="ar-SA"/>
        </w:rPr>
        <w:t xml:space="preserve"> </w:t>
      </w:r>
      <w:r w:rsidRPr="00204792">
        <w:rPr>
          <w:color w:val="000000"/>
          <w:lang w:eastAsia="ar-SA"/>
        </w:rPr>
        <w:t xml:space="preserve">bez ograniczeń, (lub odpowiadającymi im równoważnymi uprawnieniami wydanymi na podstawie wcześniejszych przepisów), która będzie pełniła funkcję Kierownika </w:t>
      </w:r>
      <w:proofErr w:type="spellStart"/>
      <w:r w:rsidRPr="00204792">
        <w:rPr>
          <w:color w:val="000000"/>
          <w:lang w:eastAsia="ar-SA"/>
        </w:rPr>
        <w:t>robót</w:t>
      </w:r>
      <w:proofErr w:type="spellEnd"/>
      <w:r w:rsidRPr="00204792">
        <w:rPr>
          <w:color w:val="000000"/>
          <w:lang w:eastAsia="ar-SA"/>
        </w:rPr>
        <w:t xml:space="preserve"> elektrycznych,</w:t>
      </w:r>
    </w:p>
    <w:p w:rsidR="00921687" w:rsidRDefault="00921687" w:rsidP="00921687">
      <w:pPr>
        <w:numPr>
          <w:ilvl w:val="0"/>
          <w:numId w:val="44"/>
        </w:numPr>
        <w:suppressAutoHyphens/>
        <w:spacing w:after="0" w:line="276" w:lineRule="auto"/>
        <w:jc w:val="both"/>
        <w:rPr>
          <w:color w:val="000000"/>
          <w:lang w:eastAsia="ar-SA"/>
        </w:rPr>
      </w:pPr>
      <w:r w:rsidRPr="00204792">
        <w:rPr>
          <w:color w:val="000000"/>
          <w:lang w:eastAsia="ar-SA"/>
        </w:rPr>
        <w:t xml:space="preserve">posiadającą </w:t>
      </w:r>
      <w:r>
        <w:rPr>
          <w:color w:val="000000"/>
          <w:lang w:eastAsia="ar-SA"/>
        </w:rPr>
        <w:t>uprawnienia budow</w:t>
      </w:r>
      <w:r w:rsidRPr="00204792">
        <w:rPr>
          <w:color w:val="000000"/>
          <w:lang w:eastAsia="ar-SA"/>
        </w:rPr>
        <w:t>l</w:t>
      </w:r>
      <w:r>
        <w:rPr>
          <w:color w:val="000000"/>
          <w:lang w:eastAsia="ar-SA"/>
        </w:rPr>
        <w:t>ane do kierowania robotami budow</w:t>
      </w:r>
      <w:r w:rsidRPr="00204792">
        <w:rPr>
          <w:color w:val="000000"/>
          <w:lang w:eastAsia="ar-SA"/>
        </w:rPr>
        <w:t>l</w:t>
      </w:r>
      <w:r>
        <w:rPr>
          <w:color w:val="000000"/>
          <w:lang w:eastAsia="ar-SA"/>
        </w:rPr>
        <w:t>a</w:t>
      </w:r>
      <w:r w:rsidRPr="00204792">
        <w:rPr>
          <w:color w:val="000000"/>
          <w:lang w:eastAsia="ar-SA"/>
        </w:rPr>
        <w:t xml:space="preserve">nymi w specjalności instalacyjnej w zakresie sieci, instalacji i urządzeń telekomunikacyjnych bez ograniczeń, (lub odpowiadającymi im równoważnymi uprawnieniami wydanymi na podstawie wcześniejszych przepisów), która będzie pełniła funkcję Kierownika </w:t>
      </w:r>
      <w:proofErr w:type="spellStart"/>
      <w:r w:rsidRPr="00204792">
        <w:rPr>
          <w:color w:val="000000"/>
          <w:lang w:eastAsia="ar-SA"/>
        </w:rPr>
        <w:t>robót</w:t>
      </w:r>
      <w:proofErr w:type="spellEnd"/>
      <w:r w:rsidRPr="00204792">
        <w:rPr>
          <w:color w:val="000000"/>
          <w:lang w:eastAsia="ar-SA"/>
        </w:rPr>
        <w:t xml:space="preserve"> teletechnicznych,</w:t>
      </w:r>
    </w:p>
    <w:p w:rsidR="00921687" w:rsidRDefault="00921687" w:rsidP="00921687">
      <w:pPr>
        <w:suppressAutoHyphens/>
        <w:spacing w:after="0" w:line="276" w:lineRule="auto"/>
        <w:ind w:left="720"/>
        <w:jc w:val="both"/>
        <w:rPr>
          <w:color w:val="000000"/>
          <w:lang w:eastAsia="ar-SA"/>
        </w:rPr>
      </w:pPr>
      <w:r w:rsidRPr="00E34851">
        <w:rPr>
          <w:lang w:eastAsia="ar-SA"/>
        </w:rPr>
        <w:t xml:space="preserve">Wymagania dotyczące kierownika budowy/ kierownika </w:t>
      </w:r>
      <w:proofErr w:type="spellStart"/>
      <w:r w:rsidRPr="00E34851">
        <w:rPr>
          <w:lang w:eastAsia="ar-SA"/>
        </w:rPr>
        <w:t>robót</w:t>
      </w:r>
      <w:proofErr w:type="spellEnd"/>
      <w:r w:rsidRPr="00E34851">
        <w:rPr>
          <w:lang w:eastAsia="ar-SA"/>
        </w:rPr>
        <w:t>:</w:t>
      </w:r>
    </w:p>
    <w:p w:rsidR="00921687" w:rsidRPr="00E34851" w:rsidRDefault="00921687" w:rsidP="00921687">
      <w:pPr>
        <w:pStyle w:val="Akapitzlist"/>
        <w:numPr>
          <w:ilvl w:val="0"/>
          <w:numId w:val="46"/>
        </w:numPr>
        <w:suppressAutoHyphens/>
        <w:spacing w:after="0" w:line="276" w:lineRule="auto"/>
        <w:jc w:val="both"/>
        <w:rPr>
          <w:color w:val="000000"/>
          <w:szCs w:val="22"/>
          <w:lang w:eastAsia="ar-SA"/>
        </w:rPr>
      </w:pPr>
      <w:r w:rsidRPr="00E34851">
        <w:rPr>
          <w:szCs w:val="22"/>
          <w:lang w:eastAsia="ar-SA"/>
        </w:rPr>
        <w:t xml:space="preserve">Minimum 3 letni staż pracy na stanowisku kierownika </w:t>
      </w:r>
      <w:proofErr w:type="spellStart"/>
      <w:r w:rsidRPr="00E34851">
        <w:rPr>
          <w:szCs w:val="22"/>
          <w:lang w:eastAsia="ar-SA"/>
        </w:rPr>
        <w:t>robót</w:t>
      </w:r>
      <w:proofErr w:type="spellEnd"/>
      <w:r w:rsidRPr="00E34851">
        <w:rPr>
          <w:szCs w:val="22"/>
          <w:lang w:eastAsia="ar-SA"/>
        </w:rPr>
        <w:t xml:space="preserve">. </w:t>
      </w:r>
    </w:p>
    <w:p w:rsidR="00921687" w:rsidRPr="00E34851" w:rsidRDefault="00921687" w:rsidP="00921687">
      <w:pPr>
        <w:pStyle w:val="Akapitzlist"/>
        <w:numPr>
          <w:ilvl w:val="0"/>
          <w:numId w:val="46"/>
        </w:numPr>
        <w:suppressAutoHyphens/>
        <w:spacing w:after="0" w:line="276" w:lineRule="auto"/>
        <w:jc w:val="both"/>
        <w:rPr>
          <w:color w:val="000000"/>
          <w:szCs w:val="22"/>
          <w:lang w:eastAsia="ar-SA"/>
        </w:rPr>
      </w:pPr>
      <w:r w:rsidRPr="00E34851">
        <w:rPr>
          <w:szCs w:val="22"/>
          <w:lang w:eastAsia="ar-SA"/>
        </w:rPr>
        <w:t>Przynależeć do właściwej Okręgowej Izby Inżynierów Budownictwa.</w:t>
      </w:r>
    </w:p>
    <w:p w:rsidR="00921687" w:rsidRPr="00E34851" w:rsidRDefault="00921687" w:rsidP="00921687">
      <w:pPr>
        <w:pStyle w:val="Akapitzlist"/>
        <w:numPr>
          <w:ilvl w:val="0"/>
          <w:numId w:val="46"/>
        </w:numPr>
        <w:suppressAutoHyphens/>
        <w:spacing w:after="0" w:line="276" w:lineRule="auto"/>
        <w:jc w:val="both"/>
        <w:rPr>
          <w:color w:val="000000"/>
          <w:szCs w:val="22"/>
          <w:lang w:eastAsia="ar-SA"/>
        </w:rPr>
      </w:pPr>
      <w:r w:rsidRPr="00E34851">
        <w:rPr>
          <w:color w:val="000000"/>
          <w:szCs w:val="22"/>
          <w:lang w:eastAsia="ar-SA"/>
        </w:rPr>
        <w:t xml:space="preserve">Kierownik budowy/ </w:t>
      </w:r>
      <w:proofErr w:type="spellStart"/>
      <w:r w:rsidRPr="00E34851">
        <w:rPr>
          <w:color w:val="000000"/>
          <w:szCs w:val="22"/>
          <w:lang w:eastAsia="ar-SA"/>
        </w:rPr>
        <w:t>robót</w:t>
      </w:r>
      <w:proofErr w:type="spellEnd"/>
      <w:r w:rsidRPr="00E34851">
        <w:rPr>
          <w:color w:val="000000"/>
          <w:szCs w:val="22"/>
          <w:lang w:eastAsia="ar-SA"/>
        </w:rPr>
        <w:t xml:space="preserve"> winien posiadać uprawnienia budowlane do kierowania robotami budowlanymi zgodnie z rozporządzeniem Ministra Infrastruktury i Rozwoju z dnia 11 września 2014 r. w sprawie samodzielnych funkcji technicznych w budownictwie.</w:t>
      </w:r>
    </w:p>
    <w:p w:rsidR="00921687" w:rsidRPr="00E72599" w:rsidRDefault="00921687" w:rsidP="00921687">
      <w:pPr>
        <w:suppressAutoHyphens/>
        <w:spacing w:after="0" w:line="240" w:lineRule="auto"/>
        <w:ind w:left="2486"/>
        <w:jc w:val="both"/>
        <w:rPr>
          <w:rFonts w:ascii="Times New Roman" w:hAnsi="Times New Roman"/>
          <w:bCs/>
          <w:sz w:val="24"/>
          <w:szCs w:val="24"/>
        </w:rPr>
      </w:pP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Wszystkie osoby skierowane do realizacji niniejszego zamówienia muszą posługiwać się językiem polskim. W przeciwnym wypadku Wykonawca zapewni na czas realizacji zamówienia tłumacza języka polskiego.</w:t>
      </w:r>
    </w:p>
    <w:p w:rsidR="00AA50D6" w:rsidRPr="00E72599" w:rsidRDefault="00AA50D6" w:rsidP="00AA50D6">
      <w:pPr>
        <w:pStyle w:val="Akapitzlist"/>
        <w:numPr>
          <w:ilvl w:val="0"/>
          <w:numId w:val="34"/>
        </w:numPr>
        <w:tabs>
          <w:tab w:val="left" w:pos="3828"/>
        </w:tabs>
        <w:autoSpaceDE w:val="0"/>
        <w:autoSpaceDN w:val="0"/>
        <w:adjustRightInd w:val="0"/>
        <w:jc w:val="both"/>
        <w:rPr>
          <w:rFonts w:ascii="Times New Roman" w:hAnsi="Times New Roman"/>
          <w:sz w:val="24"/>
          <w:szCs w:val="24"/>
        </w:rPr>
      </w:pPr>
      <w:r w:rsidRPr="00E72599">
        <w:rPr>
          <w:rFonts w:ascii="Times New Roman" w:hAnsi="Times New Roman"/>
          <w:sz w:val="24"/>
          <w:szCs w:val="24"/>
        </w:rPr>
        <w:t xml:space="preserve">Zamawiający uzna ww. warunek za spełniony jeżeli wykonawca </w:t>
      </w:r>
    </w:p>
    <w:p w:rsidR="00921687" w:rsidRPr="00B01BD0" w:rsidRDefault="00AA50D6" w:rsidP="00921687">
      <w:pPr>
        <w:numPr>
          <w:ilvl w:val="0"/>
          <w:numId w:val="45"/>
        </w:numPr>
        <w:suppressAutoHyphens/>
        <w:spacing w:after="0" w:line="276" w:lineRule="auto"/>
        <w:ind w:left="284"/>
        <w:jc w:val="both"/>
      </w:pPr>
      <w:r w:rsidRPr="00E72599">
        <w:rPr>
          <w:rFonts w:ascii="Times New Roman" w:hAnsi="Times New Roman"/>
          <w:bCs/>
          <w:sz w:val="24"/>
          <w:szCs w:val="24"/>
        </w:rPr>
        <w:t xml:space="preserve">wykaże, że wykonał w okresie ostatnich pięciu lat przed upływem terminu składania ofert, 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sidR="00D70DBC">
        <w:rPr>
          <w:rFonts w:ascii="Times New Roman" w:hAnsi="Times New Roman"/>
          <w:b/>
          <w:bCs/>
          <w:sz w:val="24"/>
          <w:szCs w:val="24"/>
        </w:rPr>
        <w:t xml:space="preserve">jedną </w:t>
      </w:r>
      <w:r w:rsidR="00D70DBC">
        <w:rPr>
          <w:rFonts w:ascii="Times New Roman" w:hAnsi="Times New Roman"/>
          <w:b/>
          <w:sz w:val="24"/>
          <w:szCs w:val="24"/>
        </w:rPr>
        <w:t>robotę</w:t>
      </w:r>
      <w:r w:rsidRPr="00E72599">
        <w:rPr>
          <w:rFonts w:ascii="Times New Roman" w:hAnsi="Times New Roman"/>
          <w:b/>
          <w:sz w:val="24"/>
          <w:szCs w:val="24"/>
        </w:rPr>
        <w:t xml:space="preserve"> budowlan</w:t>
      </w:r>
      <w:r w:rsidR="00D70DBC">
        <w:rPr>
          <w:rFonts w:ascii="Times New Roman" w:hAnsi="Times New Roman"/>
          <w:b/>
          <w:sz w:val="24"/>
          <w:szCs w:val="24"/>
        </w:rPr>
        <w:t>ą</w:t>
      </w:r>
      <w:r w:rsidR="00D70DBC">
        <w:rPr>
          <w:rFonts w:ascii="Times New Roman" w:hAnsi="Times New Roman"/>
          <w:sz w:val="24"/>
          <w:szCs w:val="24"/>
        </w:rPr>
        <w:t xml:space="preserve"> polegającą</w:t>
      </w:r>
      <w:r w:rsidRPr="00E72599">
        <w:rPr>
          <w:rFonts w:ascii="Times New Roman" w:hAnsi="Times New Roman"/>
          <w:sz w:val="24"/>
          <w:szCs w:val="24"/>
        </w:rPr>
        <w:t xml:space="preserve"> na budowie </w:t>
      </w:r>
      <w:r w:rsidR="00F82DD3">
        <w:rPr>
          <w:rFonts w:ascii="Times New Roman" w:hAnsi="Times New Roman"/>
          <w:sz w:val="24"/>
          <w:szCs w:val="24"/>
        </w:rPr>
        <w:t>lub przebudowie</w:t>
      </w:r>
      <w:r w:rsidR="00921687">
        <w:rPr>
          <w:rFonts w:ascii="Times New Roman" w:hAnsi="Times New Roman"/>
          <w:sz w:val="24"/>
          <w:szCs w:val="24"/>
        </w:rPr>
        <w:t>/rozbudowie/nadbudowie</w:t>
      </w:r>
      <w:r w:rsidR="00F82DD3">
        <w:rPr>
          <w:rFonts w:ascii="Times New Roman" w:hAnsi="Times New Roman"/>
          <w:sz w:val="24"/>
          <w:szCs w:val="24"/>
        </w:rPr>
        <w:t xml:space="preserve"> </w:t>
      </w:r>
      <w:r w:rsidR="00921687">
        <w:rPr>
          <w:rFonts w:ascii="Times New Roman" w:hAnsi="Times New Roman"/>
          <w:sz w:val="24"/>
          <w:szCs w:val="24"/>
        </w:rPr>
        <w:t xml:space="preserve">obiektu </w:t>
      </w:r>
      <w:r w:rsidR="00921687" w:rsidRPr="00B01BD0">
        <w:t xml:space="preserve">o </w:t>
      </w:r>
      <w:r w:rsidR="00921687">
        <w:t>wykonanej po</w:t>
      </w:r>
      <w:r w:rsidR="00921687" w:rsidRPr="00B01BD0">
        <w:t xml:space="preserve">wierzchni co najmniej 600 </w:t>
      </w:r>
      <w:r w:rsidR="00921687" w:rsidRPr="002316DB">
        <w:t>m</w:t>
      </w:r>
      <w:r w:rsidR="00921687" w:rsidRPr="002316DB">
        <w:rPr>
          <w:vertAlign w:val="superscript"/>
        </w:rPr>
        <w:t>2</w:t>
      </w:r>
      <w:r w:rsidR="00921687" w:rsidRPr="00B01BD0">
        <w:t xml:space="preserve"> oraz wartości nie mniejszej niż 5 000</w:t>
      </w:r>
      <w:r w:rsidR="00921687">
        <w:t> </w:t>
      </w:r>
      <w:r w:rsidR="00921687" w:rsidRPr="00B01BD0">
        <w:t>00</w:t>
      </w:r>
      <w:r w:rsidR="00921687">
        <w:t>0 PLN</w:t>
      </w:r>
      <w:r w:rsidR="00921687" w:rsidRPr="00B01BD0">
        <w:t xml:space="preserve"> brutto. </w:t>
      </w:r>
    </w:p>
    <w:p w:rsidR="00AA50D6" w:rsidRPr="00E72599" w:rsidRDefault="00AA50D6" w:rsidP="00D77A31">
      <w:pPr>
        <w:suppressAutoHyphens/>
        <w:spacing w:after="0" w:line="240" w:lineRule="auto"/>
        <w:jc w:val="both"/>
        <w:rPr>
          <w:rFonts w:ascii="Times New Roman" w:hAnsi="Times New Roman"/>
          <w:bCs/>
          <w:sz w:val="24"/>
          <w:szCs w:val="24"/>
        </w:rPr>
      </w:pP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a  IDW, musi spełniać minimum jeden z Wykonawców wspólnie ubiegających się o udzielenie zamówienia,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lastRenderedPageBreak/>
        <w:t xml:space="preserve">– </w:t>
      </w:r>
      <w:r w:rsidR="001941F6"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b  IDW, musi spełniać minimum jeden z Wykonawców wspólnie ubiegających się o udzielenie zamówienia,</w:t>
      </w:r>
    </w:p>
    <w:bookmarkEnd w:id="3"/>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Wykonawca nie podlega wykluczeniu, jeżeli Zamawiający, uwzględniając wagę i szczególne okoliczności czynu Wykonawcy, uzna za wystarczające dowody przedstawione na podstawie pkt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w:t>
      </w:r>
      <w:r w:rsidRPr="00614B57">
        <w:rPr>
          <w:rFonts w:ascii="Times New Roman" w:hAnsi="Times New Roman"/>
          <w:sz w:val="24"/>
          <w:szCs w:val="24"/>
          <w:lang w:eastAsia="pl-PL"/>
        </w:rPr>
        <w:lastRenderedPageBreak/>
        <w:t>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4"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4"/>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informacji z Krajowego Rejestru Karnego w zakresie określonym w art. 24 ust. 1 pkt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5"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w:t>
      </w:r>
      <w:r w:rsidRPr="00614B57">
        <w:rPr>
          <w:rFonts w:ascii="Times New Roman" w:hAnsi="Times New Roman"/>
          <w:sz w:val="24"/>
          <w:szCs w:val="24"/>
        </w:rPr>
        <w:lastRenderedPageBreak/>
        <w:t xml:space="preserve">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Wykonawcy o braku orzeczenia wobec niego tytułem środka zapobiegawczego zakazu ubiegania się o zamówienia publiczne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5"/>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lastRenderedPageBreak/>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zamówienia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6"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614B57">
        <w:rPr>
          <w:rFonts w:ascii="Times New Roman" w:hAnsi="Times New Roman"/>
          <w:sz w:val="24"/>
          <w:szCs w:val="24"/>
          <w:lang w:eastAsia="pl-PL"/>
        </w:rPr>
        <w:lastRenderedPageBreak/>
        <w:t xml:space="preserve">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6"/>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w:t>
      </w:r>
      <w:r w:rsidRPr="00614B57">
        <w:rPr>
          <w:rFonts w:ascii="Times New Roman" w:hAnsi="Times New Roman"/>
          <w:sz w:val="24"/>
          <w:szCs w:val="24"/>
          <w:lang w:eastAsia="pl-PL"/>
        </w:rPr>
        <w:lastRenderedPageBreak/>
        <w:t>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rych mowa w pkt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dokumenty określone w pkt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Wykonawcy którzy wspólnie ubiegać się będą o udzielenie zamówienia składają  dokumenty w</w:t>
      </w:r>
      <w:r w:rsidR="00BF1696">
        <w:rPr>
          <w:rFonts w:ascii="Times New Roman" w:hAnsi="Times New Roman"/>
          <w:sz w:val="24"/>
          <w:szCs w:val="24"/>
          <w:lang w:eastAsia="pl-PL"/>
        </w:rPr>
        <w:t>ymienione w pkt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7" w:name="mip39736022"/>
      <w:bookmarkStart w:id="8" w:name="mip39736029"/>
      <w:bookmarkEnd w:id="7"/>
      <w:bookmarkEnd w:id="8"/>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r w:rsidRPr="009A41BD">
        <w:rPr>
          <w:rFonts w:ascii="Times New Roman" w:hAnsi="Times New Roman"/>
          <w:sz w:val="24"/>
          <w:szCs w:val="24"/>
        </w:rPr>
        <w:lastRenderedPageBreak/>
        <w:t xml:space="preserve">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BA53E8">
        <w:rPr>
          <w:rFonts w:ascii="Times New Roman" w:hAnsi="Times New Roman"/>
          <w:sz w:val="24"/>
          <w:szCs w:val="24"/>
        </w:rPr>
        <w:t>10</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Regulaminie korzystania z miniPortal.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w:t>
      </w:r>
      <w:r w:rsidRPr="009A41BD">
        <w:rPr>
          <w:rFonts w:ascii="Times New Roman" w:hAnsi="Times New Roman"/>
          <w:w w:val="100"/>
          <w:sz w:val="24"/>
          <w:szCs w:val="24"/>
          <w:lang w:eastAsia="en-US"/>
        </w:rPr>
        <w:lastRenderedPageBreak/>
        <w:t xml:space="preserve">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 xml:space="preserve">w sprawie użycia środków komunikacji elektronicznej w postępowaniu o udzielenie zamówienia publicznego </w:t>
      </w:r>
      <w:r w:rsidRPr="009A41BD">
        <w:rPr>
          <w:rFonts w:ascii="Times New Roman" w:hAnsi="Times New Roman"/>
          <w:i/>
          <w:sz w:val="24"/>
          <w:szCs w:val="24"/>
        </w:rPr>
        <w:lastRenderedPageBreak/>
        <w:t>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9"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CF472C">
        <w:rPr>
          <w:rFonts w:ascii="Times New Roman" w:hAnsi="Times New Roman"/>
          <w:b/>
          <w:sz w:val="24"/>
          <w:szCs w:val="24"/>
          <w:lang w:eastAsia="pl-PL"/>
        </w:rPr>
        <w:t>200</w:t>
      </w:r>
      <w:r w:rsidR="00AA50D6">
        <w:rPr>
          <w:rFonts w:ascii="Times New Roman" w:hAnsi="Times New Roman"/>
          <w:b/>
          <w:sz w:val="24"/>
          <w:szCs w:val="24"/>
          <w:lang w:eastAsia="pl-PL"/>
        </w:rPr>
        <w:t xml:space="preserve">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CF472C">
        <w:rPr>
          <w:rFonts w:ascii="Times New Roman" w:hAnsi="Times New Roman"/>
          <w:b/>
          <w:sz w:val="24"/>
          <w:szCs w:val="24"/>
          <w:lang w:eastAsia="pl-PL"/>
        </w:rPr>
        <w:t xml:space="preserve"> dwieście </w:t>
      </w:r>
      <w:r w:rsidR="00D70DBC">
        <w:rPr>
          <w:rFonts w:ascii="Times New Roman" w:hAnsi="Times New Roman"/>
          <w:b/>
          <w:sz w:val="24"/>
          <w:szCs w:val="24"/>
          <w:lang w:eastAsia="pl-PL"/>
        </w:rPr>
        <w:t>tysięcy złotych</w:t>
      </w:r>
      <w:r w:rsidR="00B059E2" w:rsidRPr="00093AE2">
        <w:rPr>
          <w:rFonts w:ascii="Times New Roman" w:hAnsi="Times New Roman"/>
          <w:b/>
          <w:sz w:val="24"/>
          <w:szCs w:val="24"/>
          <w:lang w:eastAsia="pl-PL"/>
        </w:rPr>
        <w:t>)</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7E002A" w:rsidRDefault="00B059E2" w:rsidP="007E002A">
      <w:pPr>
        <w:pStyle w:val="Akapitzlist"/>
        <w:tabs>
          <w:tab w:val="left" w:pos="426"/>
          <w:tab w:val="left" w:pos="1800"/>
        </w:tabs>
        <w:spacing w:before="60" w:after="60"/>
        <w:ind w:left="0"/>
        <w:jc w:val="both"/>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CF472C">
        <w:t>Przebudowa stolarni</w:t>
      </w:r>
    </w:p>
    <w:p w:rsidR="00B059E2" w:rsidRPr="00614B57" w:rsidRDefault="00B059E2" w:rsidP="007E002A">
      <w:pPr>
        <w:pStyle w:val="Akapitzlist"/>
        <w:numPr>
          <w:ilvl w:val="0"/>
          <w:numId w:val="7"/>
        </w:numPr>
        <w:tabs>
          <w:tab w:val="left" w:pos="426"/>
          <w:tab w:val="left" w:pos="1800"/>
        </w:tabs>
        <w:spacing w:before="60" w:after="60"/>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9"/>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w:t>
      </w:r>
      <w:r w:rsidRPr="00614B57">
        <w:rPr>
          <w:rFonts w:ascii="Times New Roman" w:hAnsi="Times New Roman"/>
          <w:sz w:val="24"/>
          <w:szCs w:val="24"/>
          <w:lang w:eastAsia="pl-PL"/>
        </w:rPr>
        <w:lastRenderedPageBreak/>
        <w:t xml:space="preserve">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6F28E8">
        <w:rPr>
          <w:rFonts w:ascii="Times New Roman" w:hAnsi="Times New Roman"/>
          <w:b/>
          <w:bCs/>
          <w:sz w:val="24"/>
          <w:szCs w:val="24"/>
          <w:lang w:eastAsia="pl-PL"/>
        </w:rPr>
        <w:t>11</w:t>
      </w:r>
      <w:r w:rsidR="00F82DD3">
        <w:rPr>
          <w:rFonts w:ascii="Times New Roman" w:hAnsi="Times New Roman"/>
          <w:b/>
          <w:bCs/>
          <w:sz w:val="24"/>
          <w:szCs w:val="24"/>
          <w:lang w:eastAsia="pl-PL"/>
        </w:rPr>
        <w:t>.01.2021</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lastRenderedPageBreak/>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6F28E8">
        <w:rPr>
          <w:rFonts w:ascii="Times New Roman" w:hAnsi="Times New Roman"/>
          <w:b/>
          <w:bCs/>
          <w:sz w:val="24"/>
          <w:szCs w:val="24"/>
          <w:lang w:eastAsia="pl-PL"/>
        </w:rPr>
        <w:t>w dniu 11</w:t>
      </w:r>
      <w:r w:rsidR="00F82DD3">
        <w:rPr>
          <w:rFonts w:ascii="Times New Roman" w:hAnsi="Times New Roman"/>
          <w:b/>
          <w:bCs/>
          <w:sz w:val="24"/>
          <w:szCs w:val="24"/>
          <w:lang w:eastAsia="pl-PL"/>
        </w:rPr>
        <w:t>.01.2021</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w:t>
      </w:r>
      <w:r w:rsidRPr="006A080C">
        <w:rPr>
          <w:rFonts w:ascii="Times New Roman" w:hAnsi="Times New Roman"/>
          <w:sz w:val="24"/>
          <w:szCs w:val="24"/>
          <w:lang w:eastAsia="pl-PL"/>
        </w:rPr>
        <w:lastRenderedPageBreak/>
        <w:t>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Dla zamówienia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ca po przecinku wyrażone w złotych polskich PLN. Wykonawca musi uwzględnić w cenie oferty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zamówienia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Cena oferty musi zawierać wszelkie koszty niezbędne do zrealizowania zamówienia wynikające z opisu przedmiotu zamówienia, jak również koszty za prace które nie zostały ujęte w opisie przedmiotu zamówienia, a bez których nie można należycie wykonać zamówienia.</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t>────────────────────── x 60 pkt</w:t>
      </w:r>
    </w:p>
    <w:p w:rsidR="007B4599" w:rsidRDefault="007B4599" w:rsidP="007B4599">
      <w:pPr>
        <w:ind w:left="1701"/>
        <w:rPr>
          <w:rFonts w:ascii="Arial" w:hAnsi="Arial" w:cs="Arial"/>
          <w:sz w:val="20"/>
          <w:szCs w:val="20"/>
        </w:rPr>
      </w:pPr>
      <w:r w:rsidRPr="00B53DEA">
        <w:rPr>
          <w:rFonts w:ascii="Arial" w:hAnsi="Arial" w:cs="Arial"/>
          <w:sz w:val="20"/>
          <w:szCs w:val="20"/>
        </w:rPr>
        <w:t>Cena badanej oferty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wg.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p w:rsidR="007B4599" w:rsidRPr="00B53DEA"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100"/>
      </w:tblGrid>
      <w:tr w:rsidR="007B4599" w:rsidTr="007F2ADA">
        <w:trPr>
          <w:cantSplit/>
          <w:tblHeader/>
        </w:trPr>
        <w:tc>
          <w:tcPr>
            <w:tcW w:w="1621" w:type="dxa"/>
            <w:tcBorders>
              <w:top w:val="single" w:sz="2" w:space="0" w:color="000000"/>
              <w:left w:val="single" w:sz="2" w:space="0" w:color="000000"/>
              <w:bottom w:val="single" w:sz="2" w:space="0" w:color="000000"/>
              <w:right w:val="single" w:sz="2" w:space="0" w:color="000000"/>
            </w:tcBorders>
          </w:tcPr>
          <w:p w:rsidR="007B4599"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lastRenderedPageBreak/>
              <w:t xml:space="preserve">Okres udzielonej gwarancji </w:t>
            </w:r>
          </w:p>
          <w:p w:rsidR="007B4599" w:rsidRPr="009F4D41"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 xml:space="preserve">36 - </w:t>
            </w:r>
            <w:r w:rsidR="00CF472C">
              <w:rPr>
                <w:rStyle w:val="Pogrubienie"/>
                <w:rFonts w:ascii="Arial" w:hAnsi="Arial" w:cs="Arial"/>
                <w:sz w:val="20"/>
                <w:szCs w:val="20"/>
              </w:rPr>
              <w:t>47</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CF472C"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48</w:t>
            </w:r>
            <w:r w:rsidR="007B4599">
              <w:rPr>
                <w:rStyle w:val="Pogrubienie"/>
                <w:rFonts w:ascii="Arial" w:hAnsi="Arial" w:cs="Arial"/>
                <w:sz w:val="20"/>
                <w:szCs w:val="20"/>
              </w:rPr>
              <w:t>-</w:t>
            </w:r>
            <w:r>
              <w:rPr>
                <w:rStyle w:val="Pogrubienie"/>
                <w:rFonts w:ascii="Arial" w:hAnsi="Arial" w:cs="Arial"/>
                <w:sz w:val="20"/>
                <w:szCs w:val="20"/>
              </w:rPr>
              <w:t>59</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CF472C"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60</w:t>
            </w:r>
            <w:r w:rsidR="007B4599" w:rsidRPr="009F4D41">
              <w:rPr>
                <w:rStyle w:val="Pogrubienie"/>
                <w:rFonts w:ascii="Arial" w:hAnsi="Arial" w:cs="Arial"/>
                <w:sz w:val="20"/>
                <w:szCs w:val="20"/>
              </w:rPr>
              <w:t xml:space="preserve"> i więcej</w:t>
            </w:r>
          </w:p>
        </w:tc>
      </w:tr>
      <w:tr w:rsidR="007B4599" w:rsidTr="007F2ADA">
        <w:trPr>
          <w:cantSplit/>
        </w:trPr>
        <w:tc>
          <w:tcPr>
            <w:tcW w:w="1621" w:type="dxa"/>
            <w:tcBorders>
              <w:top w:val="single" w:sz="2" w:space="0" w:color="000000"/>
              <w:left w:val="single" w:sz="2" w:space="0" w:color="000000"/>
              <w:bottom w:val="single" w:sz="2" w:space="0" w:color="000000"/>
              <w:right w:val="single" w:sz="2" w:space="0" w:color="000000"/>
            </w:tcBorders>
          </w:tcPr>
          <w:p w:rsidR="007B4599" w:rsidRPr="009F4D41" w:rsidRDefault="007B4599" w:rsidP="007F2ADA">
            <w:pPr>
              <w:pStyle w:val="zawartotabeli0"/>
              <w:spacing w:before="0" w:beforeAutospacing="0" w:after="0" w:afterAutospacing="0"/>
              <w:jc w:val="center"/>
              <w:rPr>
                <w:rFonts w:ascii="Arial" w:hAnsi="Arial" w:cs="Arial"/>
                <w:i/>
                <w:iCs/>
                <w:sz w:val="20"/>
                <w:szCs w:val="20"/>
              </w:rPr>
            </w:pPr>
            <w:r w:rsidRPr="009F4D41">
              <w:rPr>
                <w:rFonts w:ascii="Arial" w:hAnsi="Arial" w:cs="Arial"/>
                <w:i/>
                <w:iCs/>
                <w:sz w:val="20"/>
                <w:szCs w:val="20"/>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30</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40</w:t>
            </w:r>
          </w:p>
        </w:tc>
      </w:tr>
    </w:tbl>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Liczba uzyskanych punktów, dla każdej oferty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007B4599">
        <w:rPr>
          <w:rFonts w:ascii="Times New Roman" w:hAnsi="Times New Roman"/>
          <w:sz w:val="24"/>
          <w:szCs w:val="24"/>
          <w:lang w:eastAsia="pl-PL"/>
        </w:rPr>
        <w:t xml:space="preserve"> IDW pod</w:t>
      </w:r>
      <w:r w:rsidR="00EB4517">
        <w:rPr>
          <w:rFonts w:ascii="Times New Roman" w:hAnsi="Times New Roman"/>
          <w:sz w:val="24"/>
          <w:szCs w:val="24"/>
          <w:lang w:eastAsia="pl-PL"/>
        </w:rPr>
        <w:t xml:space="preserve"> rygorem utraty wadium oraz złoż</w:t>
      </w:r>
      <w:r w:rsidR="007B4599">
        <w:rPr>
          <w:rFonts w:ascii="Times New Roman" w:hAnsi="Times New Roman"/>
          <w:sz w:val="24"/>
          <w:szCs w:val="24"/>
          <w:lang w:eastAsia="pl-PL"/>
        </w:rPr>
        <w:t>enia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Zabezpieczenie wnoszone w pieniądzu 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lastRenderedPageBreak/>
        <w:t xml:space="preserve">Zamawiający zwraca zabezpieczenie w wysokości 70% wniesionego zabezpieczenia w terminie 30 dni od dnia wykonania zamówienia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w:t>
      </w:r>
      <w:r w:rsidRPr="00614B57">
        <w:rPr>
          <w:rFonts w:ascii="Times New Roman" w:hAnsi="Times New Roman"/>
          <w:sz w:val="24"/>
          <w:szCs w:val="24"/>
          <w:lang w:eastAsia="pl-PL"/>
        </w:rPr>
        <w:lastRenderedPageBreak/>
        <w:t xml:space="preserve">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0" w:name="_Hlk516148552"/>
      <w:r w:rsidRPr="00614B57">
        <w:rPr>
          <w:rFonts w:ascii="Times New Roman" w:hAnsi="Times New Roman"/>
          <w:sz w:val="24"/>
          <w:szCs w:val="24"/>
        </w:rPr>
        <w:t>Wykonawca może powierzyć wykonanie części zamówienia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0"/>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lastRenderedPageBreak/>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wykaz robót</w:t>
      </w:r>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wykaz robót’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10 identyfikator postępowania i klucz publiczny</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D1" w:rsidRDefault="00464AD1" w:rsidP="009A6E74">
      <w:pPr>
        <w:spacing w:after="0" w:line="240" w:lineRule="auto"/>
      </w:pPr>
      <w:r>
        <w:separator/>
      </w:r>
    </w:p>
  </w:endnote>
  <w:endnote w:type="continuationSeparator" w:id="0">
    <w:p w:rsidR="00464AD1" w:rsidRDefault="00464AD1"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A" w:rsidRDefault="00B6027F">
    <w:pPr>
      <w:pStyle w:val="Stopka"/>
      <w:jc w:val="right"/>
    </w:pPr>
    <w:r>
      <w:rPr>
        <w:noProof/>
      </w:rPr>
      <w:fldChar w:fldCharType="begin"/>
    </w:r>
    <w:r w:rsidR="007F2ADA">
      <w:rPr>
        <w:noProof/>
      </w:rPr>
      <w:instrText>PAGE   \* MERGEFORMAT</w:instrText>
    </w:r>
    <w:r>
      <w:rPr>
        <w:noProof/>
      </w:rPr>
      <w:fldChar w:fldCharType="separate"/>
    </w:r>
    <w:r w:rsidR="008138AD">
      <w:rPr>
        <w:noProof/>
      </w:rPr>
      <w:t>1</w:t>
    </w:r>
    <w:r>
      <w:rPr>
        <w:noProof/>
      </w:rPr>
      <w:fldChar w:fldCharType="end"/>
    </w:r>
  </w:p>
  <w:p w:rsidR="007F2ADA" w:rsidRDefault="007F2A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D1" w:rsidRDefault="00464AD1" w:rsidP="009A6E74">
      <w:pPr>
        <w:spacing w:after="0" w:line="240" w:lineRule="auto"/>
      </w:pPr>
      <w:r>
        <w:separator/>
      </w:r>
    </w:p>
  </w:footnote>
  <w:footnote w:type="continuationSeparator" w:id="0">
    <w:p w:rsidR="00464AD1" w:rsidRDefault="00464AD1"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2660"/>
      <w:gridCol w:w="2976"/>
      <w:gridCol w:w="3970"/>
    </w:tblGrid>
    <w:tr w:rsidR="007F2ADA" w:rsidRPr="00724C06" w:rsidTr="00555605">
      <w:tc>
        <w:tcPr>
          <w:tcW w:w="2660" w:type="dxa"/>
          <w:vAlign w:val="center"/>
        </w:tcPr>
        <w:p w:rsidR="007F2ADA" w:rsidRPr="00724C06" w:rsidRDefault="00B6027F"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7F2ADA" w:rsidRPr="00724C06" w:rsidRDefault="00C974E2" w:rsidP="00555605">
          <w:pPr>
            <w:ind w:left="34" w:right="-534"/>
            <w:jc w:val="center"/>
          </w:pPr>
          <w:r>
            <w:rPr>
              <w:noProof/>
              <w:lang w:eastAsia="pl-PL"/>
            </w:rPr>
            <w:t xml:space="preserve">               </w:t>
          </w:r>
          <w:r w:rsidR="00B6027F">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970" w:type="dxa"/>
          <w:vAlign w:val="center"/>
        </w:tcPr>
        <w:p w:rsidR="007F2ADA" w:rsidRPr="00724C06" w:rsidRDefault="00B6027F" w:rsidP="007F2ADA">
          <w:pPr>
            <w:ind w:right="-108"/>
            <w:jc w:val="right"/>
          </w:pPr>
          <w:r>
            <w:rPr>
              <w:noProof/>
              <w:lang w:eastAsia="pl-PL"/>
            </w:rPr>
            <w:pict>
              <v:shape id="Obraz 52" o:spid="_x0000_i1027" type="#_x0000_t75" alt="Logo Europejskiego Funduszu Rozwoju Regionalnego" style="width:123.75pt;height:42.75pt;visibility:visible">
                <v:imagedata r:id="rId3" o:title="Logo Europejskiego Funduszu Rozwoju Regionalnego"/>
              </v:shape>
            </w:pict>
          </w:r>
        </w:p>
      </w:tc>
    </w:tr>
  </w:tbl>
  <w:p w:rsidR="007F2ADA" w:rsidRDefault="007F2ADA"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677093"/>
    <w:multiLevelType w:val="hybridMultilevel"/>
    <w:tmpl w:val="1B562824"/>
    <w:lvl w:ilvl="0" w:tplc="6A40BB1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7">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20">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4">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7">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8">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58EB76C6"/>
    <w:multiLevelType w:val="multilevel"/>
    <w:tmpl w:val="C3BEE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3">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4">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5">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7">
    <w:nsid w:val="683209F0"/>
    <w:multiLevelType w:val="multilevel"/>
    <w:tmpl w:val="E92CC2F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42">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3">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41"/>
  </w:num>
  <w:num w:numId="2">
    <w:abstractNumId w:val="26"/>
  </w:num>
  <w:num w:numId="3">
    <w:abstractNumId w:val="6"/>
  </w:num>
  <w:num w:numId="4">
    <w:abstractNumId w:val="12"/>
  </w:num>
  <w:num w:numId="5">
    <w:abstractNumId w:val="4"/>
  </w:num>
  <w:num w:numId="6">
    <w:abstractNumId w:val="36"/>
  </w:num>
  <w:num w:numId="7">
    <w:abstractNumId w:val="11"/>
  </w:num>
  <w:num w:numId="8">
    <w:abstractNumId w:val="18"/>
  </w:num>
  <w:num w:numId="9">
    <w:abstractNumId w:val="7"/>
  </w:num>
  <w:num w:numId="10">
    <w:abstractNumId w:val="23"/>
  </w:num>
  <w:num w:numId="11">
    <w:abstractNumId w:val="10"/>
  </w:num>
  <w:num w:numId="12">
    <w:abstractNumId w:val="34"/>
  </w:num>
  <w:num w:numId="13">
    <w:abstractNumId w:val="3"/>
  </w:num>
  <w:num w:numId="14">
    <w:abstractNumId w:val="22"/>
  </w:num>
  <w:num w:numId="15">
    <w:abstractNumId w:val="30"/>
  </w:num>
  <w:num w:numId="16">
    <w:abstractNumId w:val="20"/>
  </w:num>
  <w:num w:numId="17">
    <w:abstractNumId w:val="8"/>
  </w:num>
  <w:num w:numId="18">
    <w:abstractNumId w:val="5"/>
  </w:num>
  <w:num w:numId="19">
    <w:abstractNumId w:val="28"/>
  </w:num>
  <w:num w:numId="20">
    <w:abstractNumId w:val="33"/>
  </w:num>
  <w:num w:numId="21">
    <w:abstractNumId w:val="17"/>
  </w:num>
  <w:num w:numId="22">
    <w:abstractNumId w:val="0"/>
  </w:num>
  <w:num w:numId="23">
    <w:abstractNumId w:val="1"/>
  </w:num>
  <w:num w:numId="24">
    <w:abstractNumId w:val="2"/>
  </w:num>
  <w:num w:numId="25">
    <w:abstractNumId w:val="39"/>
  </w:num>
  <w:num w:numId="26">
    <w:abstractNumId w:val="45"/>
  </w:num>
  <w:num w:numId="27">
    <w:abstractNumId w:val="21"/>
  </w:num>
  <w:num w:numId="28">
    <w:abstractNumId w:val="43"/>
  </w:num>
  <w:num w:numId="29">
    <w:abstractNumId w:val="19"/>
  </w:num>
  <w:num w:numId="30">
    <w:abstractNumId w:val="38"/>
  </w:num>
  <w:num w:numId="31">
    <w:abstractNumId w:val="13"/>
  </w:num>
  <w:num w:numId="32">
    <w:abstractNumId w:val="31"/>
  </w:num>
  <w:num w:numId="33">
    <w:abstractNumId w:val="35"/>
  </w:num>
  <w:num w:numId="34">
    <w:abstractNumId w:val="32"/>
  </w:num>
  <w:num w:numId="35">
    <w:abstractNumId w:val="24"/>
  </w:num>
  <w:num w:numId="36">
    <w:abstractNumId w:val="14"/>
  </w:num>
  <w:num w:numId="37">
    <w:abstractNumId w:val="44"/>
  </w:num>
  <w:num w:numId="38">
    <w:abstractNumId w:val="16"/>
  </w:num>
  <w:num w:numId="39">
    <w:abstractNumId w:val="42"/>
  </w:num>
  <w:num w:numId="40">
    <w:abstractNumId w:val="9"/>
  </w:num>
  <w:num w:numId="41">
    <w:abstractNumId w:val="25"/>
  </w:num>
  <w:num w:numId="42">
    <w:abstractNumId w:val="27"/>
  </w:num>
  <w:num w:numId="43">
    <w:abstractNumId w:val="40"/>
  </w:num>
  <w:num w:numId="44">
    <w:abstractNumId w:val="37"/>
  </w:num>
  <w:num w:numId="45">
    <w:abstractNumId w:val="29"/>
  </w:num>
  <w:num w:numId="46">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0594"/>
  </w:hdrShapeDefaults>
  <w:footnotePr>
    <w:footnote w:id="-1"/>
    <w:footnote w:id="0"/>
  </w:footnotePr>
  <w:endnotePr>
    <w:endnote w:id="-1"/>
    <w:endnote w:id="0"/>
  </w:endnotePr>
  <w:compat/>
  <w:rsids>
    <w:rsidRoot w:val="00221263"/>
    <w:rsid w:val="00002458"/>
    <w:rsid w:val="000034FA"/>
    <w:rsid w:val="00004268"/>
    <w:rsid w:val="00013BC0"/>
    <w:rsid w:val="000150F4"/>
    <w:rsid w:val="00017E4C"/>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75EC0"/>
    <w:rsid w:val="00083AD1"/>
    <w:rsid w:val="00084EC9"/>
    <w:rsid w:val="00091154"/>
    <w:rsid w:val="000913BE"/>
    <w:rsid w:val="00091839"/>
    <w:rsid w:val="0009292A"/>
    <w:rsid w:val="00093AE2"/>
    <w:rsid w:val="000943AB"/>
    <w:rsid w:val="000970A0"/>
    <w:rsid w:val="000A210F"/>
    <w:rsid w:val="000A4145"/>
    <w:rsid w:val="000A5487"/>
    <w:rsid w:val="000B06F7"/>
    <w:rsid w:val="000B3B8C"/>
    <w:rsid w:val="000B6A0F"/>
    <w:rsid w:val="000B6A23"/>
    <w:rsid w:val="000C01D1"/>
    <w:rsid w:val="000C0DFD"/>
    <w:rsid w:val="000C104A"/>
    <w:rsid w:val="000C1E58"/>
    <w:rsid w:val="000C21DB"/>
    <w:rsid w:val="000C299E"/>
    <w:rsid w:val="000C7A99"/>
    <w:rsid w:val="000D26E8"/>
    <w:rsid w:val="000D2F54"/>
    <w:rsid w:val="000E4D2B"/>
    <w:rsid w:val="000E5901"/>
    <w:rsid w:val="000E6472"/>
    <w:rsid w:val="000F2E3C"/>
    <w:rsid w:val="000F2ED2"/>
    <w:rsid w:val="000F6E4B"/>
    <w:rsid w:val="001013E3"/>
    <w:rsid w:val="00103EBE"/>
    <w:rsid w:val="00106C47"/>
    <w:rsid w:val="001119B6"/>
    <w:rsid w:val="00113103"/>
    <w:rsid w:val="00123FDE"/>
    <w:rsid w:val="001243BB"/>
    <w:rsid w:val="001273C7"/>
    <w:rsid w:val="00145CD5"/>
    <w:rsid w:val="001508A6"/>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3BA1"/>
    <w:rsid w:val="001A5BBB"/>
    <w:rsid w:val="001A5E8F"/>
    <w:rsid w:val="001A6E31"/>
    <w:rsid w:val="001B3439"/>
    <w:rsid w:val="001B4892"/>
    <w:rsid w:val="001C1EEB"/>
    <w:rsid w:val="001C235E"/>
    <w:rsid w:val="001D066E"/>
    <w:rsid w:val="001D1B57"/>
    <w:rsid w:val="001D3F48"/>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50D08"/>
    <w:rsid w:val="00252383"/>
    <w:rsid w:val="00263453"/>
    <w:rsid w:val="002729E0"/>
    <w:rsid w:val="00280100"/>
    <w:rsid w:val="00280254"/>
    <w:rsid w:val="00286961"/>
    <w:rsid w:val="00287FC9"/>
    <w:rsid w:val="00291247"/>
    <w:rsid w:val="002950CA"/>
    <w:rsid w:val="002A506E"/>
    <w:rsid w:val="002B0067"/>
    <w:rsid w:val="002B3B6E"/>
    <w:rsid w:val="002B44C6"/>
    <w:rsid w:val="002B55C4"/>
    <w:rsid w:val="002C0F0C"/>
    <w:rsid w:val="002D0CA4"/>
    <w:rsid w:val="002D0F48"/>
    <w:rsid w:val="002D6770"/>
    <w:rsid w:val="002D75E3"/>
    <w:rsid w:val="002E4183"/>
    <w:rsid w:val="002E674F"/>
    <w:rsid w:val="002E7C06"/>
    <w:rsid w:val="002F04DB"/>
    <w:rsid w:val="002F18E6"/>
    <w:rsid w:val="002F1D0D"/>
    <w:rsid w:val="002F2011"/>
    <w:rsid w:val="002F4A02"/>
    <w:rsid w:val="002F4F1E"/>
    <w:rsid w:val="00302AC9"/>
    <w:rsid w:val="0030387E"/>
    <w:rsid w:val="003073A1"/>
    <w:rsid w:val="003075D1"/>
    <w:rsid w:val="00312B92"/>
    <w:rsid w:val="00314057"/>
    <w:rsid w:val="00320036"/>
    <w:rsid w:val="0032224B"/>
    <w:rsid w:val="0032336D"/>
    <w:rsid w:val="00325934"/>
    <w:rsid w:val="00326C49"/>
    <w:rsid w:val="00327C62"/>
    <w:rsid w:val="00331F98"/>
    <w:rsid w:val="00332588"/>
    <w:rsid w:val="003336F8"/>
    <w:rsid w:val="00334C7C"/>
    <w:rsid w:val="00337CFE"/>
    <w:rsid w:val="00337F83"/>
    <w:rsid w:val="00337F84"/>
    <w:rsid w:val="003460EE"/>
    <w:rsid w:val="003479B2"/>
    <w:rsid w:val="00350067"/>
    <w:rsid w:val="00354E60"/>
    <w:rsid w:val="00357906"/>
    <w:rsid w:val="00362E80"/>
    <w:rsid w:val="003634D7"/>
    <w:rsid w:val="003657CC"/>
    <w:rsid w:val="00366B4D"/>
    <w:rsid w:val="00367322"/>
    <w:rsid w:val="00367C71"/>
    <w:rsid w:val="0037304A"/>
    <w:rsid w:val="003736E3"/>
    <w:rsid w:val="00377A87"/>
    <w:rsid w:val="00381B26"/>
    <w:rsid w:val="00384477"/>
    <w:rsid w:val="00386960"/>
    <w:rsid w:val="003915AF"/>
    <w:rsid w:val="00393A3C"/>
    <w:rsid w:val="00395C4E"/>
    <w:rsid w:val="003A113C"/>
    <w:rsid w:val="003A20CA"/>
    <w:rsid w:val="003B38E0"/>
    <w:rsid w:val="003B5643"/>
    <w:rsid w:val="003C1A47"/>
    <w:rsid w:val="003D11FA"/>
    <w:rsid w:val="003D4FAA"/>
    <w:rsid w:val="003D6666"/>
    <w:rsid w:val="003D6B22"/>
    <w:rsid w:val="003E3BCB"/>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64AD1"/>
    <w:rsid w:val="0047027E"/>
    <w:rsid w:val="0047469A"/>
    <w:rsid w:val="00480439"/>
    <w:rsid w:val="0048491C"/>
    <w:rsid w:val="0049081D"/>
    <w:rsid w:val="004949F8"/>
    <w:rsid w:val="00496D30"/>
    <w:rsid w:val="00497217"/>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6CCA"/>
    <w:rsid w:val="005075BF"/>
    <w:rsid w:val="00507D3A"/>
    <w:rsid w:val="00510609"/>
    <w:rsid w:val="005111B5"/>
    <w:rsid w:val="00511369"/>
    <w:rsid w:val="0051149D"/>
    <w:rsid w:val="0052157D"/>
    <w:rsid w:val="00522040"/>
    <w:rsid w:val="00522719"/>
    <w:rsid w:val="00523E52"/>
    <w:rsid w:val="00524C05"/>
    <w:rsid w:val="00524C50"/>
    <w:rsid w:val="00525C3D"/>
    <w:rsid w:val="00525F31"/>
    <w:rsid w:val="005270A9"/>
    <w:rsid w:val="0053161E"/>
    <w:rsid w:val="005348E8"/>
    <w:rsid w:val="00534A41"/>
    <w:rsid w:val="00536AED"/>
    <w:rsid w:val="00541E20"/>
    <w:rsid w:val="00544A7B"/>
    <w:rsid w:val="00544B79"/>
    <w:rsid w:val="00545A62"/>
    <w:rsid w:val="00550D84"/>
    <w:rsid w:val="00555605"/>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3AC2"/>
    <w:rsid w:val="005F6418"/>
    <w:rsid w:val="0060269A"/>
    <w:rsid w:val="00605BBE"/>
    <w:rsid w:val="00614092"/>
    <w:rsid w:val="00614B57"/>
    <w:rsid w:val="006154CD"/>
    <w:rsid w:val="00615B4D"/>
    <w:rsid w:val="00617E94"/>
    <w:rsid w:val="006242E9"/>
    <w:rsid w:val="00624CA0"/>
    <w:rsid w:val="006255F1"/>
    <w:rsid w:val="006277A6"/>
    <w:rsid w:val="0063034C"/>
    <w:rsid w:val="00630428"/>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2325"/>
    <w:rsid w:val="006931B8"/>
    <w:rsid w:val="006941A9"/>
    <w:rsid w:val="00697D4F"/>
    <w:rsid w:val="006A080C"/>
    <w:rsid w:val="006A4284"/>
    <w:rsid w:val="006A589D"/>
    <w:rsid w:val="006B0BC3"/>
    <w:rsid w:val="006B61CE"/>
    <w:rsid w:val="006C2509"/>
    <w:rsid w:val="006D29E7"/>
    <w:rsid w:val="006D3C39"/>
    <w:rsid w:val="006D5C4E"/>
    <w:rsid w:val="006D7E10"/>
    <w:rsid w:val="006E0C36"/>
    <w:rsid w:val="006E2A59"/>
    <w:rsid w:val="006E3A22"/>
    <w:rsid w:val="006E5533"/>
    <w:rsid w:val="006F28E8"/>
    <w:rsid w:val="006F6A9F"/>
    <w:rsid w:val="00702A54"/>
    <w:rsid w:val="00702A9F"/>
    <w:rsid w:val="0070355E"/>
    <w:rsid w:val="00703B58"/>
    <w:rsid w:val="00705712"/>
    <w:rsid w:val="00713BDB"/>
    <w:rsid w:val="00715E72"/>
    <w:rsid w:val="00722A19"/>
    <w:rsid w:val="007239DB"/>
    <w:rsid w:val="00725381"/>
    <w:rsid w:val="00726DC5"/>
    <w:rsid w:val="00734C85"/>
    <w:rsid w:val="00734E3F"/>
    <w:rsid w:val="00734EE3"/>
    <w:rsid w:val="007357DA"/>
    <w:rsid w:val="00740434"/>
    <w:rsid w:val="007405EB"/>
    <w:rsid w:val="007409FE"/>
    <w:rsid w:val="00741FD3"/>
    <w:rsid w:val="0074274E"/>
    <w:rsid w:val="00743375"/>
    <w:rsid w:val="00755CEA"/>
    <w:rsid w:val="00756749"/>
    <w:rsid w:val="007576DC"/>
    <w:rsid w:val="00757BE0"/>
    <w:rsid w:val="007617E1"/>
    <w:rsid w:val="00762C7D"/>
    <w:rsid w:val="00765DD1"/>
    <w:rsid w:val="007724C4"/>
    <w:rsid w:val="00774857"/>
    <w:rsid w:val="0077570C"/>
    <w:rsid w:val="00783C58"/>
    <w:rsid w:val="00794614"/>
    <w:rsid w:val="007A0C86"/>
    <w:rsid w:val="007A22A9"/>
    <w:rsid w:val="007A5629"/>
    <w:rsid w:val="007A7FF0"/>
    <w:rsid w:val="007B0582"/>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002A"/>
    <w:rsid w:val="007E200C"/>
    <w:rsid w:val="007E6609"/>
    <w:rsid w:val="007E7D98"/>
    <w:rsid w:val="007F1BD7"/>
    <w:rsid w:val="007F2ADA"/>
    <w:rsid w:val="007F5863"/>
    <w:rsid w:val="007F79C7"/>
    <w:rsid w:val="00800E43"/>
    <w:rsid w:val="00802E33"/>
    <w:rsid w:val="00804C9E"/>
    <w:rsid w:val="00806981"/>
    <w:rsid w:val="008138AD"/>
    <w:rsid w:val="00814F10"/>
    <w:rsid w:val="00815891"/>
    <w:rsid w:val="00817680"/>
    <w:rsid w:val="008244BD"/>
    <w:rsid w:val="00827352"/>
    <w:rsid w:val="00833BF3"/>
    <w:rsid w:val="00833E35"/>
    <w:rsid w:val="00834768"/>
    <w:rsid w:val="008358E6"/>
    <w:rsid w:val="008443A1"/>
    <w:rsid w:val="008455D4"/>
    <w:rsid w:val="00850845"/>
    <w:rsid w:val="0085442F"/>
    <w:rsid w:val="008565EC"/>
    <w:rsid w:val="008613EA"/>
    <w:rsid w:val="00866568"/>
    <w:rsid w:val="008702DC"/>
    <w:rsid w:val="00871497"/>
    <w:rsid w:val="0087346F"/>
    <w:rsid w:val="00875285"/>
    <w:rsid w:val="008754E7"/>
    <w:rsid w:val="00875C83"/>
    <w:rsid w:val="00880D80"/>
    <w:rsid w:val="00881DC8"/>
    <w:rsid w:val="0088229A"/>
    <w:rsid w:val="00890070"/>
    <w:rsid w:val="00894D32"/>
    <w:rsid w:val="008953D6"/>
    <w:rsid w:val="0089703B"/>
    <w:rsid w:val="00897D84"/>
    <w:rsid w:val="008A2154"/>
    <w:rsid w:val="008A382E"/>
    <w:rsid w:val="008B37FC"/>
    <w:rsid w:val="008B3A3A"/>
    <w:rsid w:val="008B7A84"/>
    <w:rsid w:val="008C036F"/>
    <w:rsid w:val="008C077A"/>
    <w:rsid w:val="008C3E43"/>
    <w:rsid w:val="008C40AD"/>
    <w:rsid w:val="008C4B6E"/>
    <w:rsid w:val="008C6A00"/>
    <w:rsid w:val="008C76CD"/>
    <w:rsid w:val="008D0242"/>
    <w:rsid w:val="008D04B2"/>
    <w:rsid w:val="008D1404"/>
    <w:rsid w:val="008E0DFE"/>
    <w:rsid w:val="008E23DB"/>
    <w:rsid w:val="008E3281"/>
    <w:rsid w:val="008E5B3A"/>
    <w:rsid w:val="008E5C09"/>
    <w:rsid w:val="008F4326"/>
    <w:rsid w:val="008F4AC2"/>
    <w:rsid w:val="008F7551"/>
    <w:rsid w:val="008F77D4"/>
    <w:rsid w:val="00901FB8"/>
    <w:rsid w:val="00913AF7"/>
    <w:rsid w:val="00915085"/>
    <w:rsid w:val="0091540C"/>
    <w:rsid w:val="00916F39"/>
    <w:rsid w:val="0091762D"/>
    <w:rsid w:val="009200B6"/>
    <w:rsid w:val="00921687"/>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5569F"/>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081D"/>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329"/>
    <w:rsid w:val="00A233D8"/>
    <w:rsid w:val="00A25F09"/>
    <w:rsid w:val="00A27E6F"/>
    <w:rsid w:val="00A30164"/>
    <w:rsid w:val="00A32187"/>
    <w:rsid w:val="00A35A8B"/>
    <w:rsid w:val="00A4199F"/>
    <w:rsid w:val="00A45EFD"/>
    <w:rsid w:val="00A471EA"/>
    <w:rsid w:val="00A52DC0"/>
    <w:rsid w:val="00A57540"/>
    <w:rsid w:val="00A608D4"/>
    <w:rsid w:val="00A61474"/>
    <w:rsid w:val="00A66A37"/>
    <w:rsid w:val="00A67E12"/>
    <w:rsid w:val="00A73A28"/>
    <w:rsid w:val="00A75137"/>
    <w:rsid w:val="00A82E9E"/>
    <w:rsid w:val="00A84B8A"/>
    <w:rsid w:val="00A968FF"/>
    <w:rsid w:val="00A9750F"/>
    <w:rsid w:val="00AA17D2"/>
    <w:rsid w:val="00AA50D6"/>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23C"/>
    <w:rsid w:val="00AE0CE6"/>
    <w:rsid w:val="00AE1339"/>
    <w:rsid w:val="00AE1936"/>
    <w:rsid w:val="00AE2C1E"/>
    <w:rsid w:val="00AE2F0C"/>
    <w:rsid w:val="00AE3344"/>
    <w:rsid w:val="00AF238F"/>
    <w:rsid w:val="00AF27E0"/>
    <w:rsid w:val="00AF3B2A"/>
    <w:rsid w:val="00AF68F7"/>
    <w:rsid w:val="00AF6A23"/>
    <w:rsid w:val="00B0191F"/>
    <w:rsid w:val="00B019F4"/>
    <w:rsid w:val="00B0330D"/>
    <w:rsid w:val="00B059E2"/>
    <w:rsid w:val="00B12064"/>
    <w:rsid w:val="00B130B1"/>
    <w:rsid w:val="00B131E3"/>
    <w:rsid w:val="00B1691B"/>
    <w:rsid w:val="00B170E9"/>
    <w:rsid w:val="00B224CA"/>
    <w:rsid w:val="00B22824"/>
    <w:rsid w:val="00B22EF6"/>
    <w:rsid w:val="00B23741"/>
    <w:rsid w:val="00B23C18"/>
    <w:rsid w:val="00B2455C"/>
    <w:rsid w:val="00B30C7E"/>
    <w:rsid w:val="00B3156B"/>
    <w:rsid w:val="00B3364A"/>
    <w:rsid w:val="00B3446C"/>
    <w:rsid w:val="00B408CD"/>
    <w:rsid w:val="00B408DB"/>
    <w:rsid w:val="00B40C69"/>
    <w:rsid w:val="00B4152E"/>
    <w:rsid w:val="00B47E0C"/>
    <w:rsid w:val="00B51546"/>
    <w:rsid w:val="00B5365C"/>
    <w:rsid w:val="00B54E11"/>
    <w:rsid w:val="00B56473"/>
    <w:rsid w:val="00B6027F"/>
    <w:rsid w:val="00B648F0"/>
    <w:rsid w:val="00B76D95"/>
    <w:rsid w:val="00B80B4B"/>
    <w:rsid w:val="00B93CC1"/>
    <w:rsid w:val="00B94DA5"/>
    <w:rsid w:val="00B96C7B"/>
    <w:rsid w:val="00BA181B"/>
    <w:rsid w:val="00BA2E52"/>
    <w:rsid w:val="00BA3190"/>
    <w:rsid w:val="00BA53E8"/>
    <w:rsid w:val="00BA7429"/>
    <w:rsid w:val="00BB0D3C"/>
    <w:rsid w:val="00BB23E0"/>
    <w:rsid w:val="00BB2D2A"/>
    <w:rsid w:val="00BB55E8"/>
    <w:rsid w:val="00BB6C29"/>
    <w:rsid w:val="00BC2FA7"/>
    <w:rsid w:val="00BC66BC"/>
    <w:rsid w:val="00BD17C7"/>
    <w:rsid w:val="00BD2159"/>
    <w:rsid w:val="00BD6823"/>
    <w:rsid w:val="00BE3958"/>
    <w:rsid w:val="00BE61A2"/>
    <w:rsid w:val="00BE72EB"/>
    <w:rsid w:val="00BF0928"/>
    <w:rsid w:val="00BF1696"/>
    <w:rsid w:val="00BF421F"/>
    <w:rsid w:val="00BF57FD"/>
    <w:rsid w:val="00C024D1"/>
    <w:rsid w:val="00C067DD"/>
    <w:rsid w:val="00C074EE"/>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806F1"/>
    <w:rsid w:val="00C842FB"/>
    <w:rsid w:val="00C915F7"/>
    <w:rsid w:val="00C974E2"/>
    <w:rsid w:val="00CA24E3"/>
    <w:rsid w:val="00CA63AE"/>
    <w:rsid w:val="00CB205C"/>
    <w:rsid w:val="00CB294F"/>
    <w:rsid w:val="00CC06C0"/>
    <w:rsid w:val="00CC185F"/>
    <w:rsid w:val="00CC1FD0"/>
    <w:rsid w:val="00CC2891"/>
    <w:rsid w:val="00CD2B31"/>
    <w:rsid w:val="00CD508C"/>
    <w:rsid w:val="00CD546C"/>
    <w:rsid w:val="00CD581A"/>
    <w:rsid w:val="00CD6A0F"/>
    <w:rsid w:val="00CE34C2"/>
    <w:rsid w:val="00CE4674"/>
    <w:rsid w:val="00CF0855"/>
    <w:rsid w:val="00CF3B14"/>
    <w:rsid w:val="00CF472C"/>
    <w:rsid w:val="00CF6C64"/>
    <w:rsid w:val="00CF72C7"/>
    <w:rsid w:val="00D02025"/>
    <w:rsid w:val="00D07B65"/>
    <w:rsid w:val="00D1104C"/>
    <w:rsid w:val="00D1425A"/>
    <w:rsid w:val="00D1542F"/>
    <w:rsid w:val="00D17FCC"/>
    <w:rsid w:val="00D2498D"/>
    <w:rsid w:val="00D25C22"/>
    <w:rsid w:val="00D270DF"/>
    <w:rsid w:val="00D30DAD"/>
    <w:rsid w:val="00D31C19"/>
    <w:rsid w:val="00D358FD"/>
    <w:rsid w:val="00D45540"/>
    <w:rsid w:val="00D548E3"/>
    <w:rsid w:val="00D6522B"/>
    <w:rsid w:val="00D70DBC"/>
    <w:rsid w:val="00D73D68"/>
    <w:rsid w:val="00D773D5"/>
    <w:rsid w:val="00D77673"/>
    <w:rsid w:val="00D77A31"/>
    <w:rsid w:val="00D77D8F"/>
    <w:rsid w:val="00D95935"/>
    <w:rsid w:val="00D97337"/>
    <w:rsid w:val="00DA046E"/>
    <w:rsid w:val="00DA2765"/>
    <w:rsid w:val="00DA2A2A"/>
    <w:rsid w:val="00DA3D51"/>
    <w:rsid w:val="00DA51F0"/>
    <w:rsid w:val="00DA5A79"/>
    <w:rsid w:val="00DA7F20"/>
    <w:rsid w:val="00DB2AE2"/>
    <w:rsid w:val="00DB2DF5"/>
    <w:rsid w:val="00DB3609"/>
    <w:rsid w:val="00DB38CB"/>
    <w:rsid w:val="00DB494D"/>
    <w:rsid w:val="00DB58A3"/>
    <w:rsid w:val="00DB60EC"/>
    <w:rsid w:val="00DB6F2E"/>
    <w:rsid w:val="00DB75CA"/>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DF7037"/>
    <w:rsid w:val="00E00E7E"/>
    <w:rsid w:val="00E02AF3"/>
    <w:rsid w:val="00E03BB0"/>
    <w:rsid w:val="00E040CC"/>
    <w:rsid w:val="00E048B1"/>
    <w:rsid w:val="00E0760C"/>
    <w:rsid w:val="00E14EF9"/>
    <w:rsid w:val="00E207DC"/>
    <w:rsid w:val="00E2307A"/>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72599"/>
    <w:rsid w:val="00E82F60"/>
    <w:rsid w:val="00E83754"/>
    <w:rsid w:val="00E9751D"/>
    <w:rsid w:val="00EA0B10"/>
    <w:rsid w:val="00EA1BDF"/>
    <w:rsid w:val="00EA6449"/>
    <w:rsid w:val="00EA6C51"/>
    <w:rsid w:val="00EA7321"/>
    <w:rsid w:val="00EA75E3"/>
    <w:rsid w:val="00EA7D78"/>
    <w:rsid w:val="00EB01B4"/>
    <w:rsid w:val="00EB0A97"/>
    <w:rsid w:val="00EB3529"/>
    <w:rsid w:val="00EB4517"/>
    <w:rsid w:val="00EB5148"/>
    <w:rsid w:val="00EB7589"/>
    <w:rsid w:val="00ED4789"/>
    <w:rsid w:val="00EE10E3"/>
    <w:rsid w:val="00EE3401"/>
    <w:rsid w:val="00EE44C6"/>
    <w:rsid w:val="00EE570A"/>
    <w:rsid w:val="00F00296"/>
    <w:rsid w:val="00F01042"/>
    <w:rsid w:val="00F06497"/>
    <w:rsid w:val="00F10A2A"/>
    <w:rsid w:val="00F120F5"/>
    <w:rsid w:val="00F170CB"/>
    <w:rsid w:val="00F17386"/>
    <w:rsid w:val="00F20A76"/>
    <w:rsid w:val="00F23630"/>
    <w:rsid w:val="00F35C32"/>
    <w:rsid w:val="00F35DAA"/>
    <w:rsid w:val="00F365E2"/>
    <w:rsid w:val="00F459FB"/>
    <w:rsid w:val="00F46CB0"/>
    <w:rsid w:val="00F51E19"/>
    <w:rsid w:val="00F5384B"/>
    <w:rsid w:val="00F56BE3"/>
    <w:rsid w:val="00F578C5"/>
    <w:rsid w:val="00F70188"/>
    <w:rsid w:val="00F7273A"/>
    <w:rsid w:val="00F74668"/>
    <w:rsid w:val="00F82DD3"/>
    <w:rsid w:val="00F8381A"/>
    <w:rsid w:val="00F84F4F"/>
    <w:rsid w:val="00F871B6"/>
    <w:rsid w:val="00F96DB8"/>
    <w:rsid w:val="00FA177F"/>
    <w:rsid w:val="00FA1E10"/>
    <w:rsid w:val="00FA22B7"/>
    <w:rsid w:val="00FA5307"/>
    <w:rsid w:val="00FB1620"/>
    <w:rsid w:val="00FB1DF3"/>
    <w:rsid w:val="00FB44FB"/>
    <w:rsid w:val="00FB65C1"/>
    <w:rsid w:val="00FC1062"/>
    <w:rsid w:val="00FC14C7"/>
    <w:rsid w:val="00FC3D59"/>
    <w:rsid w:val="00FC3EC7"/>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34"/>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8615</Words>
  <Characters>51696</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5</cp:revision>
  <cp:lastPrinted>2020-09-18T06:42:00Z</cp:lastPrinted>
  <dcterms:created xsi:type="dcterms:W3CDTF">2020-12-03T12:51:00Z</dcterms:created>
  <dcterms:modified xsi:type="dcterms:W3CDTF">2020-12-03T13:40:00Z</dcterms:modified>
</cp:coreProperties>
</file>