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r w:rsidRPr="009E43B6">
              <w:rPr>
                <w:rFonts w:cs="Arial"/>
                <w:sz w:val="20"/>
                <w:szCs w:val="20"/>
              </w:rPr>
              <w:t>Polska</w:t>
            </w:r>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95569F"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F82DD3">
        <w:rPr>
          <w:rFonts w:ascii="Times New Roman" w:hAnsi="Times New Roman"/>
          <w:b/>
          <w:sz w:val="24"/>
          <w:szCs w:val="24"/>
        </w:rPr>
        <w:t>ZP.271.1.31</w:t>
      </w:r>
      <w:r w:rsidR="007E7D98">
        <w:rPr>
          <w:rFonts w:ascii="Times New Roman" w:hAnsi="Times New Roman"/>
          <w:b/>
          <w:sz w:val="24"/>
          <w:szCs w:val="24"/>
        </w:rPr>
        <w:t>.2020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001D3F48">
        <w:rPr>
          <w:rFonts w:ascii="Times New Roman" w:hAnsi="Times New Roman"/>
          <w:sz w:val="24"/>
        </w:rPr>
        <w:t xml:space="preserve"> ze zm.</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p w:rsidR="007E7D98" w:rsidRPr="00614B57" w:rsidRDefault="00D70DBC" w:rsidP="00046C54">
      <w:pPr>
        <w:pStyle w:val="Tytu2"/>
        <w:rPr>
          <w:rFonts w:ascii="Times New Roman" w:hAnsi="Times New Roman"/>
          <w:sz w:val="24"/>
        </w:rPr>
      </w:pPr>
      <w:r>
        <w:rPr>
          <w:rFonts w:ascii="Times New Roman" w:hAnsi="Times New Roman"/>
          <w:sz w:val="24"/>
        </w:rPr>
        <w:t>Rewitalizacja rynku w Końskich</w:t>
      </w: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2F18E6" w:rsidP="00F35C32">
      <w:pPr>
        <w:rPr>
          <w:rFonts w:ascii="Times New Roman" w:hAnsi="Times New Roman"/>
          <w:sz w:val="20"/>
          <w:szCs w:val="20"/>
        </w:rPr>
      </w:pPr>
      <w:r>
        <w:rPr>
          <w:rFonts w:ascii="Times New Roman" w:hAnsi="Times New Roman"/>
          <w:sz w:val="20"/>
          <w:szCs w:val="20"/>
        </w:rPr>
        <w:t>Maria Faraś</w:t>
      </w:r>
      <w:r w:rsidR="00A4199F">
        <w:rPr>
          <w:rFonts w:ascii="Times New Roman" w:hAnsi="Times New Roman"/>
          <w:sz w:val="20"/>
          <w:szCs w:val="20"/>
        </w:rPr>
        <w:t xml:space="preserve">            </w:t>
      </w:r>
      <w:r w:rsidR="001D066E">
        <w:rPr>
          <w:rFonts w:ascii="Times New Roman" w:hAnsi="Times New Roman"/>
          <w:sz w:val="20"/>
          <w:szCs w:val="20"/>
        </w:rPr>
        <w:t xml:space="preserve">     </w:t>
      </w:r>
      <w:r>
        <w:rPr>
          <w:rFonts w:ascii="Times New Roman" w:hAnsi="Times New Roman"/>
          <w:sz w:val="20"/>
          <w:szCs w:val="20"/>
        </w:rPr>
        <w:t xml:space="preserve">                 </w:t>
      </w:r>
      <w:r w:rsidR="001D066E">
        <w:rPr>
          <w:rFonts w:ascii="Times New Roman" w:hAnsi="Times New Roman"/>
          <w:sz w:val="20"/>
          <w:szCs w:val="20"/>
        </w:rPr>
        <w:t xml:space="preserve"> </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F82DD3">
        <w:rPr>
          <w:rFonts w:cs="Arial"/>
          <w:sz w:val="20"/>
        </w:rPr>
        <w:t>………………..</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09292A"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 xml:space="preserve">Przedmiot </w:t>
      </w:r>
      <w:proofErr w:type="spellStart"/>
      <w:r w:rsidRPr="00E72599">
        <w:rPr>
          <w:rFonts w:ascii="Times New Roman" w:hAnsi="Times New Roman" w:cs="Times New Roman"/>
          <w:b/>
          <w:bCs/>
          <w:sz w:val="24"/>
          <w:szCs w:val="24"/>
        </w:rPr>
        <w:t>zamówienia</w:t>
      </w:r>
      <w:proofErr w:type="spellEnd"/>
      <w:r w:rsidRPr="00E72599">
        <w:rPr>
          <w:rFonts w:ascii="Times New Roman" w:hAnsi="Times New Roman" w:cs="Times New Roman"/>
          <w:b/>
          <w:bCs/>
          <w:sz w:val="24"/>
          <w:szCs w:val="24"/>
        </w:rPr>
        <w:t>.</w:t>
      </w:r>
    </w:p>
    <w:p w:rsidR="006F6A9F" w:rsidRDefault="001508A6" w:rsidP="001508A6">
      <w:pPr>
        <w:autoSpaceDE w:val="0"/>
        <w:autoSpaceDN w:val="0"/>
        <w:adjustRightInd w:val="0"/>
        <w:spacing w:after="0" w:line="240" w:lineRule="auto"/>
        <w:jc w:val="both"/>
        <w:rPr>
          <w:rFonts w:ascii="Times New Roman" w:hAnsi="Times New Roman"/>
          <w:sz w:val="24"/>
          <w:szCs w:val="24"/>
        </w:rPr>
      </w:pPr>
      <w:r w:rsidRPr="00B522E7">
        <w:rPr>
          <w:rFonts w:ascii="Times New Roman" w:hAnsi="Times New Roman"/>
          <w:sz w:val="24"/>
          <w:szCs w:val="24"/>
        </w:rPr>
        <w:t>Przedmiot</w:t>
      </w:r>
      <w:r w:rsidR="005F3AC2">
        <w:rPr>
          <w:rFonts w:ascii="Times New Roman" w:hAnsi="Times New Roman"/>
          <w:sz w:val="24"/>
          <w:szCs w:val="24"/>
        </w:rPr>
        <w:t xml:space="preserve">em </w:t>
      </w:r>
      <w:proofErr w:type="spellStart"/>
      <w:r w:rsidR="005F3AC2">
        <w:rPr>
          <w:rFonts w:ascii="Times New Roman" w:hAnsi="Times New Roman"/>
          <w:sz w:val="24"/>
          <w:szCs w:val="24"/>
        </w:rPr>
        <w:t>zamówienia</w:t>
      </w:r>
      <w:proofErr w:type="spellEnd"/>
      <w:r w:rsidR="005F3AC2">
        <w:rPr>
          <w:rFonts w:ascii="Times New Roman" w:hAnsi="Times New Roman"/>
          <w:sz w:val="24"/>
          <w:szCs w:val="24"/>
        </w:rPr>
        <w:t xml:space="preserve"> jest rewitalizacja rynku w m. Końskie obejmująca</w:t>
      </w:r>
      <w:r w:rsidRPr="00B522E7">
        <w:rPr>
          <w:rFonts w:ascii="Times New Roman" w:hAnsi="Times New Roman"/>
          <w:sz w:val="24"/>
          <w:szCs w:val="24"/>
        </w:rPr>
        <w:t xml:space="preserve"> wykonanie płyty rynku wraz z alejkami parkowymi, fontanną oraz zielenią i obiektam</w:t>
      </w:r>
      <w:r w:rsidR="005F3AC2">
        <w:rPr>
          <w:rFonts w:ascii="Times New Roman" w:hAnsi="Times New Roman"/>
          <w:sz w:val="24"/>
          <w:szCs w:val="24"/>
        </w:rPr>
        <w:t xml:space="preserve">i małej architektury </w:t>
      </w:r>
      <w:r w:rsidRPr="00B522E7">
        <w:rPr>
          <w:rFonts w:ascii="Times New Roman" w:hAnsi="Times New Roman"/>
          <w:sz w:val="24"/>
          <w:szCs w:val="24"/>
        </w:rPr>
        <w:t xml:space="preserve">Zamówienie ma na celu zorganizowanie przestrzeni publicznej </w:t>
      </w:r>
      <w:r w:rsidR="006F6A9F">
        <w:rPr>
          <w:rFonts w:ascii="Times New Roman" w:hAnsi="Times New Roman"/>
          <w:sz w:val="24"/>
          <w:szCs w:val="24"/>
        </w:rPr>
        <w:t xml:space="preserve"> w obszarze pomiędzy ulicami: Piłsudskiego, Pl. </w:t>
      </w:r>
      <w:r w:rsidR="00DB75CA">
        <w:rPr>
          <w:rFonts w:ascii="Times New Roman" w:hAnsi="Times New Roman"/>
          <w:sz w:val="24"/>
          <w:szCs w:val="24"/>
        </w:rPr>
        <w:t>Kościuszki, Odrowąża i terenem K</w:t>
      </w:r>
      <w:r w:rsidR="006F6A9F">
        <w:rPr>
          <w:rFonts w:ascii="Times New Roman" w:hAnsi="Times New Roman"/>
          <w:sz w:val="24"/>
          <w:szCs w:val="24"/>
        </w:rPr>
        <w:t>ościoła.</w:t>
      </w:r>
    </w:p>
    <w:p w:rsidR="001508A6" w:rsidRPr="00B522E7" w:rsidRDefault="001508A6" w:rsidP="001508A6">
      <w:pPr>
        <w:autoSpaceDE w:val="0"/>
        <w:autoSpaceDN w:val="0"/>
        <w:adjustRightInd w:val="0"/>
        <w:spacing w:after="0" w:line="240" w:lineRule="auto"/>
        <w:jc w:val="both"/>
        <w:rPr>
          <w:rFonts w:ascii="Times New Roman" w:hAnsi="Times New Roman"/>
          <w:sz w:val="24"/>
          <w:szCs w:val="24"/>
        </w:rPr>
      </w:pPr>
      <w:r w:rsidRPr="00B522E7">
        <w:rPr>
          <w:rFonts w:ascii="Times New Roman" w:hAnsi="Times New Roman"/>
          <w:sz w:val="24"/>
          <w:szCs w:val="24"/>
        </w:rPr>
        <w:t>Inwestycja realizowana będzie na działkach nr 4995/10, 4995/11, 4995/12, 4995/13, 4995/14, 4995/15, 4995/20, 4995/16, 4995/18,4995/19, obr.0002 Końskie, 260503-4 Końskie miasto).</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Szczegółowy opis przedmiotu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zawierają: </w:t>
      </w:r>
    </w:p>
    <w:p w:rsidR="001D066E" w:rsidRPr="00E72599" w:rsidRDefault="005F3AC2" w:rsidP="001D066E">
      <w:pPr>
        <w:numPr>
          <w:ilvl w:val="8"/>
          <w:numId w:val="0"/>
        </w:numPr>
        <w:tabs>
          <w:tab w:val="num" w:pos="0"/>
        </w:tabs>
        <w:suppressAutoHyphens/>
        <w:spacing w:after="0" w:line="240" w:lineRule="auto"/>
        <w:jc w:val="both"/>
        <w:rPr>
          <w:rFonts w:ascii="Times New Roman" w:hAnsi="Times New Roman"/>
          <w:sz w:val="24"/>
          <w:szCs w:val="24"/>
        </w:rPr>
      </w:pPr>
      <w:r>
        <w:rPr>
          <w:rFonts w:ascii="Times New Roman" w:hAnsi="Times New Roman"/>
          <w:sz w:val="24"/>
          <w:szCs w:val="24"/>
        </w:rPr>
        <w:t>-  dokumentacja projektowa,</w:t>
      </w:r>
    </w:p>
    <w:p w:rsidR="00F70188"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specyfikacje techniczne wykona</w:t>
      </w:r>
      <w:r w:rsidR="005F3AC2">
        <w:rPr>
          <w:rFonts w:ascii="Times New Roman" w:hAnsi="Times New Roman"/>
          <w:sz w:val="24"/>
          <w:szCs w:val="24"/>
        </w:rPr>
        <w:t xml:space="preserve">nia i odbioru </w:t>
      </w:r>
      <w:proofErr w:type="spellStart"/>
      <w:r w:rsidR="005F3AC2">
        <w:rPr>
          <w:rFonts w:ascii="Times New Roman" w:hAnsi="Times New Roman"/>
          <w:sz w:val="24"/>
          <w:szCs w:val="24"/>
        </w:rPr>
        <w:t>robót</w:t>
      </w:r>
      <w:proofErr w:type="spellEnd"/>
      <w:r w:rsidR="005F3AC2">
        <w:rPr>
          <w:rFonts w:ascii="Times New Roman" w:hAnsi="Times New Roman"/>
          <w:sz w:val="24"/>
          <w:szCs w:val="24"/>
        </w:rPr>
        <w:t xml:space="preserve"> budowlanych,</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 przedmiary robót (forma pomocnicza) </w:t>
      </w:r>
    </w:p>
    <w:p w:rsidR="001D066E" w:rsidRPr="00E72599" w:rsidRDefault="001D066E" w:rsidP="001D066E">
      <w:pPr>
        <w:numPr>
          <w:ilvl w:val="8"/>
          <w:numId w:val="0"/>
        </w:numPr>
        <w:tabs>
          <w:tab w:val="num" w:pos="0"/>
        </w:tabs>
        <w:suppressAutoHyphens/>
        <w:spacing w:after="0" w:line="240" w:lineRule="auto"/>
        <w:jc w:val="both"/>
        <w:rPr>
          <w:rFonts w:ascii="Times New Roman" w:hAnsi="Times New Roman"/>
          <w:sz w:val="24"/>
          <w:szCs w:val="24"/>
        </w:rPr>
      </w:pPr>
      <w:r w:rsidRPr="00E72599">
        <w:rPr>
          <w:rFonts w:ascii="Times New Roman" w:hAnsi="Times New Roman"/>
          <w:sz w:val="24"/>
          <w:szCs w:val="24"/>
        </w:rPr>
        <w:t xml:space="preserve">Z uwagi na ryczałtowy charakter wynagrodzenia załączone przedmiary robót stanowią element pomocniczy przy kalkulacji ceny ofertowej. Roboty muszą być wykonane zgodnie z dokumentacją projektową, zasadami wiedzy technicznej i sztuki budowlanej obowiązującymi przepisami, normami. </w:t>
      </w:r>
    </w:p>
    <w:p w:rsidR="00875C83" w:rsidRPr="001D066E" w:rsidRDefault="00875C83" w:rsidP="001D066E">
      <w:pPr>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Szczegółowy opis przedmiotu zamówienia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lastRenderedPageBreak/>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CC1FD0" w:rsidRPr="0088229A" w:rsidRDefault="00CC1FD0" w:rsidP="00CC1FD0">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CC1FD0" w:rsidRPr="0088229A" w:rsidRDefault="00CC1FD0" w:rsidP="00CC1FD0">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Roboty w zakresie przygotowania terenu i roboty ziemne      </w:t>
      </w:r>
    </w:p>
    <w:p w:rsidR="00CC1FD0" w:rsidRDefault="00CC1FD0" w:rsidP="00CC1FD0">
      <w:pPr>
        <w:tabs>
          <w:tab w:val="left" w:pos="426"/>
        </w:tabs>
        <w:ind w:firstLine="284"/>
        <w:jc w:val="both"/>
        <w:rPr>
          <w:rFonts w:ascii="Times New Roman" w:hAnsi="Times New Roman"/>
          <w:bCs/>
          <w:sz w:val="24"/>
          <w:szCs w:val="24"/>
        </w:rPr>
      </w:pPr>
      <w:r>
        <w:rPr>
          <w:rFonts w:ascii="Times New Roman" w:hAnsi="Times New Roman"/>
          <w:bCs/>
          <w:sz w:val="24"/>
          <w:szCs w:val="24"/>
        </w:rPr>
        <w:t>CPV 45233220-7 roboty w zakresie nawierzchni dróg</w:t>
      </w:r>
    </w:p>
    <w:p w:rsidR="00CC1FD0" w:rsidRDefault="00CC1FD0" w:rsidP="00CC1FD0">
      <w:pPr>
        <w:tabs>
          <w:tab w:val="left" w:pos="426"/>
        </w:tabs>
        <w:ind w:firstLine="284"/>
        <w:jc w:val="both"/>
        <w:rPr>
          <w:rFonts w:ascii="Times New Roman" w:hAnsi="Times New Roman"/>
          <w:bCs/>
          <w:sz w:val="24"/>
          <w:szCs w:val="24"/>
        </w:rPr>
      </w:pPr>
      <w:r>
        <w:rPr>
          <w:rFonts w:ascii="Times New Roman" w:hAnsi="Times New Roman"/>
          <w:bCs/>
          <w:sz w:val="24"/>
          <w:szCs w:val="24"/>
        </w:rPr>
        <w:t>CPV 45233260-9 roboty budowlane w zakresie dróg pieszych</w:t>
      </w:r>
      <w:r w:rsidRPr="0088229A">
        <w:rPr>
          <w:rFonts w:ascii="Times New Roman" w:hAnsi="Times New Roman"/>
          <w:bCs/>
          <w:sz w:val="24"/>
          <w:szCs w:val="24"/>
        </w:rPr>
        <w:t xml:space="preserve"> </w:t>
      </w:r>
    </w:p>
    <w:p w:rsidR="00CC1FD0" w:rsidRPr="0088229A" w:rsidRDefault="00CC1FD0" w:rsidP="00CC1FD0">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45233226-9 Roboty w obrębie nawierzchni- roboty budowlane w zakresie dróg dojazdowych</w:t>
      </w:r>
    </w:p>
    <w:p w:rsidR="00CC1FD0" w:rsidRPr="00CC1FD0" w:rsidRDefault="00CC1FD0" w:rsidP="00367322">
      <w:pPr>
        <w:tabs>
          <w:tab w:val="left" w:pos="426"/>
        </w:tabs>
        <w:ind w:firstLine="284"/>
        <w:jc w:val="both"/>
        <w:rPr>
          <w:rFonts w:ascii="Times New Roman" w:hAnsi="Times New Roman"/>
          <w:bCs/>
          <w:sz w:val="24"/>
          <w:szCs w:val="24"/>
        </w:rPr>
      </w:pPr>
      <w:r w:rsidRPr="00CC1FD0">
        <w:rPr>
          <w:rFonts w:ascii="Times New Roman" w:hAnsi="Times New Roman"/>
          <w:bCs/>
          <w:sz w:val="24"/>
          <w:szCs w:val="24"/>
        </w:rPr>
        <w:t>CPV 45311000-0 roboty w zakresie okablowania oraz instalacje elektryczne</w:t>
      </w:r>
    </w:p>
    <w:p w:rsidR="00CC1FD0" w:rsidRPr="00CC1FD0" w:rsidRDefault="00CC1FD0" w:rsidP="00CC1FD0">
      <w:pPr>
        <w:tabs>
          <w:tab w:val="left" w:pos="426"/>
        </w:tabs>
        <w:ind w:firstLine="284"/>
        <w:jc w:val="both"/>
        <w:rPr>
          <w:rFonts w:ascii="Times New Roman" w:hAnsi="Times New Roman"/>
          <w:bCs/>
          <w:sz w:val="24"/>
          <w:szCs w:val="24"/>
        </w:rPr>
      </w:pPr>
      <w:r w:rsidRPr="00CC1FD0">
        <w:rPr>
          <w:rFonts w:ascii="Times New Roman" w:hAnsi="Times New Roman"/>
          <w:bCs/>
          <w:sz w:val="24"/>
          <w:szCs w:val="24"/>
        </w:rPr>
        <w:t xml:space="preserve">CPV 45231300-8 roboty budowlane w zakresie budowy wodociągów i rurociągów do odprowadzania ścieków  </w:t>
      </w:r>
    </w:p>
    <w:p w:rsidR="00CC1FD0" w:rsidRPr="0088229A" w:rsidRDefault="00CC1FD0" w:rsidP="00CC1FD0">
      <w:pPr>
        <w:tabs>
          <w:tab w:val="left" w:pos="426"/>
        </w:tabs>
        <w:jc w:val="both"/>
        <w:rPr>
          <w:rFonts w:ascii="Times New Roman" w:hAnsi="Times New Roman"/>
          <w:bCs/>
          <w:sz w:val="24"/>
          <w:szCs w:val="24"/>
        </w:rPr>
      </w:pPr>
      <w:r>
        <w:rPr>
          <w:rFonts w:ascii="Times New Roman" w:hAnsi="Times New Roman"/>
          <w:bCs/>
          <w:sz w:val="24"/>
          <w:szCs w:val="24"/>
        </w:rPr>
        <w:t xml:space="preserve">   </w:t>
      </w:r>
      <w:r w:rsidRPr="0088229A">
        <w:rPr>
          <w:rFonts w:ascii="Times New Roman" w:hAnsi="Times New Roman"/>
          <w:bCs/>
          <w:sz w:val="24"/>
          <w:szCs w:val="24"/>
        </w:rPr>
        <w:t>CPV 45112711-2 Zagospodarowanie zielenią- roboty w zakresie kształtowania parków</w:t>
      </w:r>
    </w:p>
    <w:p w:rsidR="00CC1FD0" w:rsidRPr="00FB2917" w:rsidRDefault="00CC1FD0" w:rsidP="00CC1FD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CPV </w:t>
      </w:r>
      <w:hyperlink r:id="rId8" w:history="1">
        <w:r w:rsidRPr="00FB2917">
          <w:rPr>
            <w:rFonts w:ascii="Times New Roman" w:eastAsia="Times New Roman" w:hAnsi="Times New Roman"/>
            <w:color w:val="0000FF"/>
            <w:sz w:val="24"/>
            <w:szCs w:val="24"/>
            <w:u w:val="single"/>
            <w:lang w:eastAsia="pl-PL"/>
          </w:rPr>
          <w:t>45233293-9</w:t>
        </w:r>
      </w:hyperlink>
      <w:r w:rsidRPr="00FB2917">
        <w:rPr>
          <w:rFonts w:ascii="Times New Roman" w:eastAsia="Times New Roman" w:hAnsi="Times New Roman"/>
          <w:sz w:val="24"/>
          <w:szCs w:val="24"/>
          <w:lang w:eastAsia="pl-PL"/>
        </w:rPr>
        <w:t xml:space="preserve"> Instalowanie mebli ulicznych </w:t>
      </w:r>
    </w:p>
    <w:p w:rsidR="00875C83" w:rsidRPr="00E34283" w:rsidRDefault="00875C83" w:rsidP="00367322">
      <w:pPr>
        <w:tabs>
          <w:tab w:val="left" w:pos="426"/>
        </w:tabs>
        <w:spacing w:after="0" w:line="240" w:lineRule="auto"/>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72599" w:rsidRDefault="00B059E2" w:rsidP="00E72599">
      <w:pPr>
        <w:pStyle w:val="Akapitzlist"/>
        <w:tabs>
          <w:tab w:val="left" w:pos="426"/>
          <w:tab w:val="left" w:pos="1800"/>
        </w:tabs>
        <w:spacing w:before="60" w:after="60"/>
        <w:ind w:left="0"/>
        <w:jc w:val="both"/>
        <w:rPr>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zamówienia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D70DBC">
        <w:rPr>
          <w:i/>
        </w:rPr>
        <w:t>Rewitalizacja rynku w Końskich</w:t>
      </w: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001D3F48">
        <w:rPr>
          <w:rFonts w:ascii="Times New Roman" w:hAnsi="Times New Roman"/>
          <w:sz w:val="24"/>
          <w:szCs w:val="24"/>
        </w:rPr>
        <w:t xml:space="preserve"> ze zm. </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r w:rsidRPr="00E34283">
        <w:rPr>
          <w:rFonts w:ascii="Times New Roman" w:hAnsi="Times New Roman"/>
          <w:sz w:val="24"/>
          <w:szCs w:val="24"/>
        </w:rPr>
        <w:lastRenderedPageBreak/>
        <w:t xml:space="preserve">związanym z udziałem w postępowaniu o udzielenie zamówienia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zamówienia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pkt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o których mowa w art. 67 ust.1 pkt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Akapitzlist"/>
        <w:jc w:val="both"/>
        <w:rPr>
          <w:rFonts w:ascii="Times New Roman" w:hAnsi="Times New Roman"/>
          <w:b/>
          <w:sz w:val="24"/>
          <w:szCs w:val="24"/>
          <w:lang w:eastAsia="pl-PL"/>
        </w:rPr>
      </w:pPr>
    </w:p>
    <w:p w:rsidR="00F82DD3" w:rsidRDefault="00B059E2" w:rsidP="00F82DD3">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F82DD3">
        <w:rPr>
          <w:rFonts w:ascii="Times New Roman" w:hAnsi="Times New Roman"/>
          <w:sz w:val="24"/>
          <w:szCs w:val="24"/>
          <w:lang w:eastAsia="pl-PL"/>
        </w:rPr>
        <w:t>30.11.2022</w:t>
      </w:r>
    </w:p>
    <w:p w:rsidR="00B059E2" w:rsidRPr="00614B57" w:rsidRDefault="00B059E2" w:rsidP="00F82DD3">
      <w:pPr>
        <w:pStyle w:val="Akapitzlist"/>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2"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2"/>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3"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1941F6" w:rsidRPr="00E72599" w:rsidRDefault="00AA50D6" w:rsidP="00D77A31">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zamówienia tj. </w:t>
      </w:r>
    </w:p>
    <w:p w:rsidR="00D70DBC"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bookmarkStart w:id="4" w:name="_Hlk47164023"/>
      <w:r w:rsidRPr="00E72599">
        <w:rPr>
          <w:rFonts w:ascii="Times New Roman" w:hAnsi="Times New Roman"/>
          <w:sz w:val="24"/>
          <w:szCs w:val="24"/>
        </w:rPr>
        <w:t xml:space="preserve">co najmniej jedną </w:t>
      </w:r>
      <w:bookmarkEnd w:id="4"/>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Kierownika Budowy, posiadającą uprawnienia budowlane do kierowania robotami budowlanymi w specjalności </w:t>
      </w:r>
      <w:r w:rsidR="00D70DBC">
        <w:rPr>
          <w:rFonts w:ascii="Times New Roman" w:hAnsi="Times New Roman"/>
          <w:b/>
          <w:sz w:val="24"/>
          <w:szCs w:val="24"/>
        </w:rPr>
        <w:t xml:space="preserve">drogowej </w:t>
      </w:r>
      <w:r w:rsidRPr="00E72599">
        <w:rPr>
          <w:rFonts w:ascii="Times New Roman" w:hAnsi="Times New Roman"/>
          <w:sz w:val="24"/>
          <w:szCs w:val="24"/>
        </w:rPr>
        <w:t xml:space="preserve">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D70DBC"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cieplnych, wentylacyjnych, gazowych, wodociągowych i kanalizacyjnych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osobą </w:t>
      </w:r>
      <w:r w:rsidRPr="00E72599">
        <w:rPr>
          <w:rFonts w:ascii="Times New Roman" w:hAnsi="Times New Roman"/>
          <w:sz w:val="24"/>
          <w:szCs w:val="24"/>
        </w:rPr>
        <w:t xml:space="preserve">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elektrycznych i elektroenergetycznych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w:t>
      </w:r>
      <w:r w:rsidRPr="00E72599">
        <w:rPr>
          <w:rFonts w:ascii="Times New Roman" w:hAnsi="Times New Roman"/>
          <w:sz w:val="24"/>
          <w:szCs w:val="24"/>
        </w:rPr>
        <w:lastRenderedPageBreak/>
        <w:t>odpowiadające im ważne uprawnienia budowlane, które zostały wydane na podstawie wcześniej obowiązujących przepisów;</w:t>
      </w:r>
    </w:p>
    <w:p w:rsidR="00AA50D6" w:rsidRPr="00E72599" w:rsidRDefault="00AA50D6" w:rsidP="00D70DBC">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w:t>
      </w:r>
      <w:r w:rsidRPr="005F3AC2">
        <w:rPr>
          <w:rFonts w:ascii="Times New Roman" w:hAnsi="Times New Roman"/>
          <w:b/>
          <w:sz w:val="24"/>
          <w:szCs w:val="24"/>
        </w:rPr>
        <w:t xml:space="preserve">specjalności </w:t>
      </w:r>
      <w:r w:rsidR="00D70DBC" w:rsidRPr="005F3AC2">
        <w:rPr>
          <w:rFonts w:ascii="Times New Roman" w:hAnsi="Times New Roman"/>
          <w:b/>
          <w:sz w:val="24"/>
          <w:szCs w:val="24"/>
        </w:rPr>
        <w:t>teletechnicznej</w:t>
      </w:r>
      <w:r w:rsidR="00D70DBC">
        <w:rPr>
          <w:rFonts w:ascii="Times New Roman" w:hAnsi="Times New Roman"/>
          <w:sz w:val="24"/>
          <w:szCs w:val="24"/>
        </w:rPr>
        <w:t xml:space="preserve"> </w:t>
      </w:r>
      <w:r w:rsidRPr="00E72599">
        <w:rPr>
          <w:rFonts w:ascii="Times New Roman" w:hAnsi="Times New Roman"/>
          <w:sz w:val="24"/>
          <w:szCs w:val="24"/>
        </w:rPr>
        <w:t xml:space="preserve">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w:t>
      </w: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Wszystkie osoby skierowane do realizacji niniejszego zamówienia muszą posługiwać się językiem polskim. W przeciwnym wypadku Wykonawca zapewni na czas realizacji zamówienia tłumacza języka polskiego.</w:t>
      </w:r>
    </w:p>
    <w:p w:rsidR="00AA50D6" w:rsidRPr="00E72599" w:rsidRDefault="00AA50D6" w:rsidP="00AA50D6">
      <w:pPr>
        <w:pStyle w:val="Akapitzlist"/>
        <w:numPr>
          <w:ilvl w:val="0"/>
          <w:numId w:val="34"/>
        </w:numPr>
        <w:tabs>
          <w:tab w:val="left" w:pos="3828"/>
        </w:tabs>
        <w:autoSpaceDE w:val="0"/>
        <w:autoSpaceDN w:val="0"/>
        <w:adjustRightInd w:val="0"/>
        <w:jc w:val="both"/>
        <w:rPr>
          <w:rFonts w:ascii="Times New Roman" w:hAnsi="Times New Roman"/>
          <w:sz w:val="24"/>
          <w:szCs w:val="24"/>
        </w:rPr>
      </w:pPr>
      <w:r w:rsidRPr="00E72599">
        <w:rPr>
          <w:rFonts w:ascii="Times New Roman" w:hAnsi="Times New Roman"/>
          <w:sz w:val="24"/>
          <w:szCs w:val="24"/>
        </w:rPr>
        <w:t xml:space="preserve">Zamawiający uzna ww. warunek za spełniony jeżeli wykonawca </w:t>
      </w:r>
    </w:p>
    <w:p w:rsidR="00AA50D6" w:rsidRPr="00E72599" w:rsidRDefault="00AA50D6" w:rsidP="00D77A31">
      <w:p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wykaże, że wykonał w okresie ostatnich pięciu lat przed upływem terminu składania ofert, 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sidR="00D70DBC">
        <w:rPr>
          <w:rFonts w:ascii="Times New Roman" w:hAnsi="Times New Roman"/>
          <w:b/>
          <w:bCs/>
          <w:sz w:val="24"/>
          <w:szCs w:val="24"/>
        </w:rPr>
        <w:t xml:space="preserve">jedną </w:t>
      </w:r>
      <w:r w:rsidR="00D70DBC">
        <w:rPr>
          <w:rFonts w:ascii="Times New Roman" w:hAnsi="Times New Roman"/>
          <w:b/>
          <w:sz w:val="24"/>
          <w:szCs w:val="24"/>
        </w:rPr>
        <w:t>robotę</w:t>
      </w:r>
      <w:r w:rsidRPr="00E72599">
        <w:rPr>
          <w:rFonts w:ascii="Times New Roman" w:hAnsi="Times New Roman"/>
          <w:b/>
          <w:sz w:val="24"/>
          <w:szCs w:val="24"/>
        </w:rPr>
        <w:t xml:space="preserve"> budowlan</w:t>
      </w:r>
      <w:r w:rsidR="00D70DBC">
        <w:rPr>
          <w:rFonts w:ascii="Times New Roman" w:hAnsi="Times New Roman"/>
          <w:b/>
          <w:sz w:val="24"/>
          <w:szCs w:val="24"/>
        </w:rPr>
        <w:t>ą</w:t>
      </w:r>
      <w:r w:rsidR="00D70DBC">
        <w:rPr>
          <w:rFonts w:ascii="Times New Roman" w:hAnsi="Times New Roman"/>
          <w:sz w:val="24"/>
          <w:szCs w:val="24"/>
        </w:rPr>
        <w:t xml:space="preserve"> polegającą</w:t>
      </w:r>
      <w:r w:rsidRPr="00E72599">
        <w:rPr>
          <w:rFonts w:ascii="Times New Roman" w:hAnsi="Times New Roman"/>
          <w:sz w:val="24"/>
          <w:szCs w:val="24"/>
        </w:rPr>
        <w:t xml:space="preserve"> na budowie </w:t>
      </w:r>
      <w:r w:rsidR="00F82DD3">
        <w:rPr>
          <w:rFonts w:ascii="Times New Roman" w:hAnsi="Times New Roman"/>
          <w:sz w:val="24"/>
          <w:szCs w:val="24"/>
        </w:rPr>
        <w:t xml:space="preserve">lub przebudowie </w:t>
      </w:r>
      <w:r w:rsidR="00D70DBC">
        <w:rPr>
          <w:rFonts w:ascii="Times New Roman" w:hAnsi="Times New Roman"/>
          <w:sz w:val="24"/>
          <w:szCs w:val="24"/>
        </w:rPr>
        <w:t>rynku</w:t>
      </w:r>
      <w:r w:rsidR="00F82DD3">
        <w:rPr>
          <w:rFonts w:ascii="Times New Roman" w:hAnsi="Times New Roman"/>
          <w:sz w:val="24"/>
          <w:szCs w:val="24"/>
        </w:rPr>
        <w:t xml:space="preserve"> lub placu użyteczności publicznej o nawier</w:t>
      </w:r>
      <w:r w:rsidR="008C036F">
        <w:rPr>
          <w:rFonts w:ascii="Times New Roman" w:hAnsi="Times New Roman"/>
          <w:sz w:val="24"/>
          <w:szCs w:val="24"/>
        </w:rPr>
        <w:t>z</w:t>
      </w:r>
      <w:r w:rsidR="00F82DD3">
        <w:rPr>
          <w:rFonts w:ascii="Times New Roman" w:hAnsi="Times New Roman"/>
          <w:sz w:val="24"/>
          <w:szCs w:val="24"/>
        </w:rPr>
        <w:t>chni kamiennej</w:t>
      </w:r>
      <w:r w:rsidR="00D70DBC">
        <w:rPr>
          <w:rFonts w:ascii="Times New Roman" w:hAnsi="Times New Roman"/>
          <w:sz w:val="24"/>
          <w:szCs w:val="24"/>
        </w:rPr>
        <w:t xml:space="preserve"> wraz z odwodnieniem, oświetleniem i usuwaniem kolizji z sieciami podziemnymi o wartości, co najmniej 4</w:t>
      </w:r>
      <w:r w:rsidRPr="00E72599">
        <w:rPr>
          <w:rFonts w:ascii="Times New Roman" w:hAnsi="Times New Roman"/>
          <w:sz w:val="24"/>
          <w:szCs w:val="24"/>
        </w:rPr>
        <w:t xml:space="preserve"> 000 000 </w:t>
      </w:r>
      <w:r w:rsidR="001941F6" w:rsidRPr="00E72599">
        <w:rPr>
          <w:rFonts w:ascii="Times New Roman" w:hAnsi="Times New Roman"/>
          <w:sz w:val="24"/>
          <w:szCs w:val="24"/>
        </w:rPr>
        <w:t>PLN</w:t>
      </w:r>
      <w:r w:rsidRPr="00E72599">
        <w:rPr>
          <w:rFonts w:ascii="Times New Roman" w:hAnsi="Times New Roman"/>
          <w:sz w:val="24"/>
          <w:szCs w:val="24"/>
        </w:rPr>
        <w:t xml:space="preserve"> brutto </w:t>
      </w: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a  IDW, musi spełniać minimum jeden z Wykonawców wspólnie ubiegających się o udzielenie zamówienia,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t>
      </w:r>
      <w:r w:rsidR="001941F6" w:rsidRPr="0088229A">
        <w:rPr>
          <w:rFonts w:ascii="Times New Roman" w:hAnsi="Times New Roman"/>
          <w:bCs/>
          <w:i/>
          <w:sz w:val="24"/>
          <w:szCs w:val="24"/>
        </w:rPr>
        <w:t xml:space="preserve"> w przypadku złożenia oferty przez Wykonawców wspólnie ubiegających się o udzielenie zamówienia, warunek udziału w postępowaniu, określony w pkt. 8.2.3. lit b  IDW, musi spełniać minimum jeden z Wykonawców wspólnie ubiegających się o udzielenie zamówienia,</w:t>
      </w:r>
    </w:p>
    <w:bookmarkEnd w:id="3"/>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zamówienia publicznego Wykonawcę wobec którego zaistnieją przesłanki do </w:t>
      </w:r>
      <w:r w:rsidRPr="00614B57">
        <w:rPr>
          <w:rFonts w:ascii="Times New Roman" w:hAnsi="Times New Roman"/>
          <w:sz w:val="24"/>
          <w:szCs w:val="24"/>
          <w:lang w:eastAsia="pl-PL"/>
        </w:rPr>
        <w:lastRenderedPageBreak/>
        <w:t>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Wykonawca nie podlega wykluczeniu, jeżeli Zamawiający, uwzględniając wagę i szczególne okoliczności czynu Wykonawcy, uzna za wystarczające dowody przedstawione na podstawie pkt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w:t>
      </w:r>
      <w:r w:rsidRPr="00614B57">
        <w:rPr>
          <w:rFonts w:ascii="Times New Roman" w:eastAsia="Cambria,BoldItalic" w:hAnsi="Times New Roman"/>
          <w:iCs/>
          <w:color w:val="000000"/>
          <w:sz w:val="24"/>
          <w:szCs w:val="24"/>
        </w:rPr>
        <w:lastRenderedPageBreak/>
        <w:t xml:space="preserve">(UZP),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w:t>
      </w:r>
      <w:r w:rsidRPr="00614B57">
        <w:rPr>
          <w:rFonts w:ascii="Times New Roman" w:hAnsi="Times New Roman"/>
          <w:sz w:val="24"/>
          <w:szCs w:val="24"/>
          <w:lang w:eastAsia="pl-PL"/>
        </w:rPr>
        <w:lastRenderedPageBreak/>
        <w:t xml:space="preserve">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5"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5"/>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informacji z Krajowego Rejestru Karnego w zakresie określonym w art. 24 ust. 1 pkt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6"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Wykonawcy o braku orzeczenia wobec niego tytułem środka zapobiegawczego zakazu ubiegania się o zamówienia publiczne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6"/>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zamówienia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lastRenderedPageBreak/>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7"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7"/>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w:t>
      </w:r>
      <w:r w:rsidRPr="00614B57">
        <w:rPr>
          <w:rFonts w:ascii="Times New Roman" w:hAnsi="Times New Roman"/>
          <w:sz w:val="24"/>
          <w:szCs w:val="24"/>
          <w:lang w:eastAsia="pl-PL"/>
        </w:rPr>
        <w:lastRenderedPageBreak/>
        <w:t xml:space="preserve">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rych mowa w pkt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t>
      </w:r>
      <w:r w:rsidRPr="00614B57">
        <w:rPr>
          <w:rFonts w:ascii="Times New Roman" w:hAnsi="Times New Roman"/>
          <w:sz w:val="24"/>
          <w:szCs w:val="24"/>
          <w:lang w:eastAsia="pl-PL"/>
        </w:rPr>
        <w:lastRenderedPageBreak/>
        <w:t>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w:t>
      </w:r>
      <w:r w:rsidRPr="00614B57">
        <w:rPr>
          <w:rFonts w:ascii="Times New Roman" w:hAnsi="Times New Roman"/>
          <w:sz w:val="24"/>
          <w:szCs w:val="24"/>
          <w:lang w:eastAsia="pl-PL"/>
        </w:rPr>
        <w:lastRenderedPageBreak/>
        <w:t xml:space="preserve">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dokumenty określone w pkt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Wykonawcy którzy wspólnie ubiegać się będą o udzielenie zamówienia składają  dokumenty w</w:t>
      </w:r>
      <w:r w:rsidR="00BF1696">
        <w:rPr>
          <w:rFonts w:ascii="Times New Roman" w:hAnsi="Times New Roman"/>
          <w:sz w:val="24"/>
          <w:szCs w:val="24"/>
          <w:lang w:eastAsia="pl-PL"/>
        </w:rPr>
        <w:t>ymienione w pkt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8" w:name="mip39736022"/>
      <w:bookmarkStart w:id="9" w:name="mip39736029"/>
      <w:bookmarkEnd w:id="8"/>
      <w:bookmarkEnd w:id="9"/>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10"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1"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BA53E8">
        <w:rPr>
          <w:rFonts w:ascii="Times New Roman" w:hAnsi="Times New Roman"/>
          <w:sz w:val="24"/>
          <w:szCs w:val="24"/>
        </w:rPr>
        <w:t>10</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Regulaminie korzystania z miniPortal.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lastRenderedPageBreak/>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2"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3"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Wadium</w:t>
      </w:r>
    </w:p>
    <w:p w:rsidR="00093AE2" w:rsidRDefault="00093AE2" w:rsidP="00093AE2">
      <w:pPr>
        <w:jc w:val="both"/>
        <w:rPr>
          <w:rFonts w:ascii="Times New Roman" w:hAnsi="Times New Roman"/>
          <w:sz w:val="24"/>
          <w:szCs w:val="24"/>
          <w:lang w:eastAsia="pl-PL"/>
        </w:rPr>
      </w:pPr>
      <w:bookmarkStart w:id="10"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D70DBC">
        <w:rPr>
          <w:rFonts w:ascii="Times New Roman" w:hAnsi="Times New Roman"/>
          <w:b/>
          <w:sz w:val="24"/>
          <w:szCs w:val="24"/>
          <w:lang w:eastAsia="pl-PL"/>
        </w:rPr>
        <w:t>150</w:t>
      </w:r>
      <w:r w:rsidR="00AA50D6">
        <w:rPr>
          <w:rFonts w:ascii="Times New Roman" w:hAnsi="Times New Roman"/>
          <w:b/>
          <w:sz w:val="24"/>
          <w:szCs w:val="24"/>
          <w:lang w:eastAsia="pl-PL"/>
        </w:rPr>
        <w:t xml:space="preserve">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D70DBC">
        <w:rPr>
          <w:rFonts w:ascii="Times New Roman" w:hAnsi="Times New Roman"/>
          <w:b/>
          <w:sz w:val="24"/>
          <w:szCs w:val="24"/>
          <w:lang w:eastAsia="pl-PL"/>
        </w:rPr>
        <w:t>sto pięćdziesiąt tysięcy złotych</w:t>
      </w:r>
      <w:r w:rsidR="00B059E2" w:rsidRPr="00093AE2">
        <w:rPr>
          <w:rFonts w:ascii="Times New Roman" w:hAnsi="Times New Roman"/>
          <w:b/>
          <w:sz w:val="24"/>
          <w:szCs w:val="24"/>
          <w:lang w:eastAsia="pl-PL"/>
        </w:rPr>
        <w:t>)</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7E002A" w:rsidRDefault="00B059E2" w:rsidP="007E002A">
      <w:pPr>
        <w:pStyle w:val="Akapitzlist"/>
        <w:tabs>
          <w:tab w:val="left" w:pos="426"/>
          <w:tab w:val="left" w:pos="1800"/>
        </w:tabs>
        <w:spacing w:before="60" w:after="60"/>
        <w:ind w:left="0"/>
        <w:jc w:val="both"/>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506CCA">
        <w:t>Rewitalizacja</w:t>
      </w:r>
      <w:r w:rsidR="007E002A">
        <w:t xml:space="preserve"> rynku w Końskich </w:t>
      </w:r>
    </w:p>
    <w:p w:rsidR="00B059E2" w:rsidRPr="00614B57" w:rsidRDefault="00B059E2" w:rsidP="007E002A">
      <w:pPr>
        <w:pStyle w:val="Akapitzlist"/>
        <w:numPr>
          <w:ilvl w:val="0"/>
          <w:numId w:val="7"/>
        </w:numPr>
        <w:tabs>
          <w:tab w:val="left" w:pos="426"/>
          <w:tab w:val="left" w:pos="1800"/>
        </w:tabs>
        <w:spacing w:before="60" w:after="60"/>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10"/>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lastRenderedPageBreak/>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4"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F82DD3">
        <w:rPr>
          <w:rFonts w:ascii="Times New Roman" w:hAnsi="Times New Roman"/>
          <w:b/>
          <w:bCs/>
          <w:sz w:val="24"/>
          <w:szCs w:val="24"/>
          <w:lang w:eastAsia="pl-PL"/>
        </w:rPr>
        <w:t>05.01.2021</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F82DD3">
        <w:rPr>
          <w:rFonts w:ascii="Times New Roman" w:hAnsi="Times New Roman"/>
          <w:b/>
          <w:bCs/>
          <w:sz w:val="24"/>
          <w:szCs w:val="24"/>
          <w:lang w:eastAsia="pl-PL"/>
        </w:rPr>
        <w:t>w dniu 05.01.2021</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lastRenderedPageBreak/>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5"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Dla zamówienia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ca po przecinku wyrażone w złotych polskich PLN. Wykonawca musi uwzględnić w cenie oferty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lastRenderedPageBreak/>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zamówienia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Cena oferty musi zawierać wszelkie koszty niezbędne do zrealizowania zamówienia wynikające z opisu przedmiotu zamówienia, jak również koszty za prace które nie zostały ujęte w opisie przedmiotu zamówienia, a bez których nie można należycie wykonać zamówienia.</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lastRenderedPageBreak/>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t>────────────────────── x 60 pkt</w:t>
      </w:r>
    </w:p>
    <w:p w:rsidR="007B4599" w:rsidRDefault="007B4599" w:rsidP="007B4599">
      <w:pPr>
        <w:ind w:left="1701"/>
        <w:rPr>
          <w:rFonts w:ascii="Arial" w:hAnsi="Arial" w:cs="Arial"/>
          <w:sz w:val="20"/>
          <w:szCs w:val="20"/>
        </w:rPr>
      </w:pPr>
      <w:r w:rsidRPr="00B53DEA">
        <w:rPr>
          <w:rFonts w:ascii="Arial" w:hAnsi="Arial" w:cs="Arial"/>
          <w:sz w:val="20"/>
          <w:szCs w:val="20"/>
        </w:rPr>
        <w:t>Cena badanej oferty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wg.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p w:rsidR="007B4599" w:rsidRPr="00B53DEA"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100"/>
      </w:tblGrid>
      <w:tr w:rsidR="007B4599" w:rsidTr="007F2ADA">
        <w:trPr>
          <w:cantSplit/>
          <w:tblHeader/>
        </w:trPr>
        <w:tc>
          <w:tcPr>
            <w:tcW w:w="1621" w:type="dxa"/>
            <w:tcBorders>
              <w:top w:val="single" w:sz="2" w:space="0" w:color="000000"/>
              <w:left w:val="single" w:sz="2" w:space="0" w:color="000000"/>
              <w:bottom w:val="single" w:sz="2" w:space="0" w:color="000000"/>
              <w:right w:val="single" w:sz="2" w:space="0" w:color="000000"/>
            </w:tcBorders>
          </w:tcPr>
          <w:p w:rsidR="007B4599"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Okres udzielonej gwarancji </w:t>
            </w:r>
          </w:p>
          <w:p w:rsidR="007B4599" w:rsidRPr="009F4D41"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36 - 59</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60-83</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84</w:t>
            </w:r>
            <w:r w:rsidRPr="009F4D41">
              <w:rPr>
                <w:rStyle w:val="Pogrubienie"/>
                <w:rFonts w:ascii="Arial" w:hAnsi="Arial" w:cs="Arial"/>
                <w:sz w:val="20"/>
                <w:szCs w:val="20"/>
              </w:rPr>
              <w:t xml:space="preserve"> i więcej</w:t>
            </w:r>
          </w:p>
        </w:tc>
      </w:tr>
      <w:tr w:rsidR="007B4599" w:rsidTr="007F2ADA">
        <w:trPr>
          <w:cantSplit/>
        </w:trPr>
        <w:tc>
          <w:tcPr>
            <w:tcW w:w="1621" w:type="dxa"/>
            <w:tcBorders>
              <w:top w:val="single" w:sz="2" w:space="0" w:color="000000"/>
              <w:left w:val="single" w:sz="2" w:space="0" w:color="000000"/>
              <w:bottom w:val="single" w:sz="2" w:space="0" w:color="000000"/>
              <w:right w:val="single" w:sz="2" w:space="0" w:color="000000"/>
            </w:tcBorders>
          </w:tcPr>
          <w:p w:rsidR="007B4599" w:rsidRPr="009F4D41" w:rsidRDefault="007B4599" w:rsidP="007F2ADA">
            <w:pPr>
              <w:pStyle w:val="zawartotabeli0"/>
              <w:spacing w:before="0" w:beforeAutospacing="0" w:after="0" w:afterAutospacing="0"/>
              <w:jc w:val="center"/>
              <w:rPr>
                <w:rFonts w:ascii="Arial" w:hAnsi="Arial" w:cs="Arial"/>
                <w:i/>
                <w:iCs/>
                <w:sz w:val="20"/>
                <w:szCs w:val="20"/>
              </w:rPr>
            </w:pPr>
            <w:r w:rsidRPr="009F4D41">
              <w:rPr>
                <w:rFonts w:ascii="Arial" w:hAnsi="Arial" w:cs="Arial"/>
                <w:i/>
                <w:iCs/>
                <w:sz w:val="20"/>
                <w:szCs w:val="20"/>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30</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40</w:t>
            </w:r>
          </w:p>
        </w:tc>
      </w:tr>
    </w:tbl>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Liczba uzyskanych punktów, dla każdej oferty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007B4599">
        <w:rPr>
          <w:rFonts w:ascii="Times New Roman" w:hAnsi="Times New Roman"/>
          <w:sz w:val="24"/>
          <w:szCs w:val="24"/>
          <w:lang w:eastAsia="pl-PL"/>
        </w:rPr>
        <w:t xml:space="preserve"> IDW pod</w:t>
      </w:r>
      <w:r w:rsidR="00EB4517">
        <w:rPr>
          <w:rFonts w:ascii="Times New Roman" w:hAnsi="Times New Roman"/>
          <w:sz w:val="24"/>
          <w:szCs w:val="24"/>
          <w:lang w:eastAsia="pl-PL"/>
        </w:rPr>
        <w:t xml:space="preserve"> rygorem utraty wadium oraz złoż</w:t>
      </w:r>
      <w:r w:rsidR="007B4599">
        <w:rPr>
          <w:rFonts w:ascii="Times New Roman" w:hAnsi="Times New Roman"/>
          <w:sz w:val="24"/>
          <w:szCs w:val="24"/>
          <w:lang w:eastAsia="pl-PL"/>
        </w:rPr>
        <w:t>enia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lastRenderedPageBreak/>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Zabezpieczenie wnoszone w pieniądzu 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lastRenderedPageBreak/>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w:t>
      </w:r>
      <w:r w:rsidRPr="00614B57">
        <w:rPr>
          <w:rFonts w:ascii="Times New Roman" w:hAnsi="Times New Roman"/>
          <w:sz w:val="24"/>
          <w:szCs w:val="24"/>
          <w:lang w:eastAsia="pl-PL"/>
        </w:rPr>
        <w:lastRenderedPageBreak/>
        <w:t xml:space="preserve">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1" w:name="_Hlk516148552"/>
      <w:r w:rsidRPr="00614B57">
        <w:rPr>
          <w:rFonts w:ascii="Times New Roman" w:hAnsi="Times New Roman"/>
          <w:sz w:val="24"/>
          <w:szCs w:val="24"/>
        </w:rPr>
        <w:t>Wykonawca może powierzyć wykonanie części zamówienia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1"/>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wykaz robót</w:t>
      </w:r>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wykaz robót’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10 identyfikator postępowania i klucz publiczny</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6"/>
      <w:footerReference w:type="default" r:id="rId17"/>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159" w:rsidRDefault="00BD2159" w:rsidP="009A6E74">
      <w:pPr>
        <w:spacing w:after="0" w:line="240" w:lineRule="auto"/>
      </w:pPr>
      <w:r>
        <w:separator/>
      </w:r>
    </w:p>
  </w:endnote>
  <w:endnote w:type="continuationSeparator" w:id="0">
    <w:p w:rsidR="00BD2159" w:rsidRDefault="00BD2159"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DA" w:rsidRDefault="0095569F">
    <w:pPr>
      <w:pStyle w:val="Stopka"/>
      <w:jc w:val="right"/>
    </w:pPr>
    <w:r>
      <w:rPr>
        <w:noProof/>
      </w:rPr>
      <w:fldChar w:fldCharType="begin"/>
    </w:r>
    <w:r w:rsidR="007F2ADA">
      <w:rPr>
        <w:noProof/>
      </w:rPr>
      <w:instrText>PAGE   \* MERGEFORMAT</w:instrText>
    </w:r>
    <w:r>
      <w:rPr>
        <w:noProof/>
      </w:rPr>
      <w:fldChar w:fldCharType="separate"/>
    </w:r>
    <w:r w:rsidR="008C036F">
      <w:rPr>
        <w:noProof/>
      </w:rPr>
      <w:t>12</w:t>
    </w:r>
    <w:r>
      <w:rPr>
        <w:noProof/>
      </w:rPr>
      <w:fldChar w:fldCharType="end"/>
    </w:r>
  </w:p>
  <w:p w:rsidR="007F2ADA" w:rsidRDefault="007F2A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159" w:rsidRDefault="00BD2159" w:rsidP="009A6E74">
      <w:pPr>
        <w:spacing w:after="0" w:line="240" w:lineRule="auto"/>
      </w:pPr>
      <w:r>
        <w:separator/>
      </w:r>
    </w:p>
  </w:footnote>
  <w:footnote w:type="continuationSeparator" w:id="0">
    <w:p w:rsidR="00BD2159" w:rsidRDefault="00BD2159"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Look w:val="04A0"/>
    </w:tblPr>
    <w:tblGrid>
      <w:gridCol w:w="2660"/>
      <w:gridCol w:w="2976"/>
      <w:gridCol w:w="3970"/>
    </w:tblGrid>
    <w:tr w:rsidR="007F2ADA" w:rsidRPr="00724C06" w:rsidTr="00555605">
      <w:tc>
        <w:tcPr>
          <w:tcW w:w="2660" w:type="dxa"/>
          <w:vAlign w:val="center"/>
        </w:tcPr>
        <w:p w:rsidR="007F2ADA" w:rsidRPr="00724C06" w:rsidRDefault="0095569F"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7F2ADA" w:rsidRPr="00724C06" w:rsidRDefault="00C974E2" w:rsidP="00555605">
          <w:pPr>
            <w:ind w:left="34" w:right="-534"/>
            <w:jc w:val="center"/>
          </w:pPr>
          <w:r>
            <w:rPr>
              <w:noProof/>
              <w:lang w:eastAsia="pl-PL"/>
            </w:rPr>
            <w:t xml:space="preserve">               </w:t>
          </w:r>
          <w:r w:rsidR="0095569F">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970" w:type="dxa"/>
          <w:vAlign w:val="center"/>
        </w:tcPr>
        <w:p w:rsidR="007F2ADA" w:rsidRPr="00724C06" w:rsidRDefault="0095569F" w:rsidP="007F2ADA">
          <w:pPr>
            <w:ind w:right="-108"/>
            <w:jc w:val="right"/>
          </w:pPr>
          <w:r>
            <w:rPr>
              <w:noProof/>
              <w:lang w:eastAsia="pl-PL"/>
            </w:rPr>
            <w:pict>
              <v:shape id="Obraz 52" o:spid="_x0000_i1027" type="#_x0000_t75" alt="Logo Europejskiego Funduszu Rozwoju Regionalnego" style="width:123.75pt;height:42.75pt;visibility:visible">
                <v:imagedata r:id="rId3" o:title="Logo Europejskiego Funduszu Rozwoju Regionalnego"/>
              </v:shape>
            </w:pict>
          </w:r>
        </w:p>
      </w:tc>
    </w:tr>
  </w:tbl>
  <w:p w:rsidR="007F2ADA" w:rsidRDefault="007F2ADA"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6">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1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3">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6">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7">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1">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2">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3">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9">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0">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38"/>
  </w:num>
  <w:num w:numId="2">
    <w:abstractNumId w:val="25"/>
  </w:num>
  <w:num w:numId="3">
    <w:abstractNumId w:val="6"/>
  </w:num>
  <w:num w:numId="4">
    <w:abstractNumId w:val="12"/>
  </w:num>
  <w:num w:numId="5">
    <w:abstractNumId w:val="4"/>
  </w:num>
  <w:num w:numId="6">
    <w:abstractNumId w:val="34"/>
  </w:num>
  <w:num w:numId="7">
    <w:abstractNumId w:val="11"/>
  </w:num>
  <w:num w:numId="8">
    <w:abstractNumId w:val="17"/>
  </w:num>
  <w:num w:numId="9">
    <w:abstractNumId w:val="7"/>
  </w:num>
  <w:num w:numId="10">
    <w:abstractNumId w:val="22"/>
  </w:num>
  <w:num w:numId="11">
    <w:abstractNumId w:val="10"/>
  </w:num>
  <w:num w:numId="12">
    <w:abstractNumId w:val="32"/>
  </w:num>
  <w:num w:numId="13">
    <w:abstractNumId w:val="3"/>
  </w:num>
  <w:num w:numId="14">
    <w:abstractNumId w:val="21"/>
  </w:num>
  <w:num w:numId="15">
    <w:abstractNumId w:val="28"/>
  </w:num>
  <w:num w:numId="16">
    <w:abstractNumId w:val="19"/>
  </w:num>
  <w:num w:numId="17">
    <w:abstractNumId w:val="8"/>
  </w:num>
  <w:num w:numId="18">
    <w:abstractNumId w:val="5"/>
  </w:num>
  <w:num w:numId="19">
    <w:abstractNumId w:val="27"/>
  </w:num>
  <w:num w:numId="20">
    <w:abstractNumId w:val="31"/>
  </w:num>
  <w:num w:numId="21">
    <w:abstractNumId w:val="16"/>
  </w:num>
  <w:num w:numId="22">
    <w:abstractNumId w:val="0"/>
  </w:num>
  <w:num w:numId="23">
    <w:abstractNumId w:val="1"/>
  </w:num>
  <w:num w:numId="24">
    <w:abstractNumId w:val="2"/>
  </w:num>
  <w:num w:numId="25">
    <w:abstractNumId w:val="36"/>
  </w:num>
  <w:num w:numId="26">
    <w:abstractNumId w:val="42"/>
  </w:num>
  <w:num w:numId="27">
    <w:abstractNumId w:val="20"/>
  </w:num>
  <w:num w:numId="28">
    <w:abstractNumId w:val="40"/>
  </w:num>
  <w:num w:numId="29">
    <w:abstractNumId w:val="18"/>
  </w:num>
  <w:num w:numId="30">
    <w:abstractNumId w:val="35"/>
  </w:num>
  <w:num w:numId="31">
    <w:abstractNumId w:val="13"/>
  </w:num>
  <w:num w:numId="32">
    <w:abstractNumId w:val="29"/>
  </w:num>
  <w:num w:numId="33">
    <w:abstractNumId w:val="33"/>
  </w:num>
  <w:num w:numId="34">
    <w:abstractNumId w:val="30"/>
  </w:num>
  <w:num w:numId="35">
    <w:abstractNumId w:val="23"/>
  </w:num>
  <w:num w:numId="36">
    <w:abstractNumId w:val="14"/>
  </w:num>
  <w:num w:numId="37">
    <w:abstractNumId w:val="41"/>
  </w:num>
  <w:num w:numId="38">
    <w:abstractNumId w:val="15"/>
  </w:num>
  <w:num w:numId="39">
    <w:abstractNumId w:val="39"/>
  </w:num>
  <w:num w:numId="40">
    <w:abstractNumId w:val="9"/>
  </w:num>
  <w:num w:numId="41">
    <w:abstractNumId w:val="24"/>
  </w:num>
  <w:num w:numId="42">
    <w:abstractNumId w:val="26"/>
  </w:num>
  <w:num w:numId="43">
    <w:abstractNumId w:val="3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8306"/>
  </w:hdrShapeDefaults>
  <w:footnotePr>
    <w:footnote w:id="-1"/>
    <w:footnote w:id="0"/>
  </w:footnotePr>
  <w:endnotePr>
    <w:endnote w:id="-1"/>
    <w:endnote w:id="0"/>
  </w:endnotePr>
  <w:compat/>
  <w:rsids>
    <w:rsidRoot w:val="00221263"/>
    <w:rsid w:val="00002458"/>
    <w:rsid w:val="000034FA"/>
    <w:rsid w:val="00004268"/>
    <w:rsid w:val="00013BC0"/>
    <w:rsid w:val="000150F4"/>
    <w:rsid w:val="00017E4C"/>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75EC0"/>
    <w:rsid w:val="00083AD1"/>
    <w:rsid w:val="00084EC9"/>
    <w:rsid w:val="00091154"/>
    <w:rsid w:val="000913BE"/>
    <w:rsid w:val="00091839"/>
    <w:rsid w:val="0009292A"/>
    <w:rsid w:val="00093AE2"/>
    <w:rsid w:val="000943AB"/>
    <w:rsid w:val="000970A0"/>
    <w:rsid w:val="000A210F"/>
    <w:rsid w:val="000A4145"/>
    <w:rsid w:val="000A5487"/>
    <w:rsid w:val="000B06F7"/>
    <w:rsid w:val="000B3B8C"/>
    <w:rsid w:val="000B6A0F"/>
    <w:rsid w:val="000B6A23"/>
    <w:rsid w:val="000C01D1"/>
    <w:rsid w:val="000C0DFD"/>
    <w:rsid w:val="000C104A"/>
    <w:rsid w:val="000C1E58"/>
    <w:rsid w:val="000C21DB"/>
    <w:rsid w:val="000C299E"/>
    <w:rsid w:val="000C7A99"/>
    <w:rsid w:val="000D26E8"/>
    <w:rsid w:val="000D2F54"/>
    <w:rsid w:val="000E4D2B"/>
    <w:rsid w:val="000E5901"/>
    <w:rsid w:val="000E6472"/>
    <w:rsid w:val="000F2E3C"/>
    <w:rsid w:val="000F2ED2"/>
    <w:rsid w:val="000F6E4B"/>
    <w:rsid w:val="001013E3"/>
    <w:rsid w:val="00103EBE"/>
    <w:rsid w:val="00106C47"/>
    <w:rsid w:val="001119B6"/>
    <w:rsid w:val="00113103"/>
    <w:rsid w:val="00123FDE"/>
    <w:rsid w:val="001243BB"/>
    <w:rsid w:val="001273C7"/>
    <w:rsid w:val="00145CD5"/>
    <w:rsid w:val="001508A6"/>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3BA1"/>
    <w:rsid w:val="001A5BBB"/>
    <w:rsid w:val="001A5E8F"/>
    <w:rsid w:val="001A6E31"/>
    <w:rsid w:val="001B3439"/>
    <w:rsid w:val="001B4892"/>
    <w:rsid w:val="001C1EEB"/>
    <w:rsid w:val="001C235E"/>
    <w:rsid w:val="001D066E"/>
    <w:rsid w:val="001D1B57"/>
    <w:rsid w:val="001D3F48"/>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50D08"/>
    <w:rsid w:val="00252383"/>
    <w:rsid w:val="00263453"/>
    <w:rsid w:val="002729E0"/>
    <w:rsid w:val="00280100"/>
    <w:rsid w:val="00280254"/>
    <w:rsid w:val="00286961"/>
    <w:rsid w:val="00291247"/>
    <w:rsid w:val="002950CA"/>
    <w:rsid w:val="002A506E"/>
    <w:rsid w:val="002B0067"/>
    <w:rsid w:val="002B3B6E"/>
    <w:rsid w:val="002B44C6"/>
    <w:rsid w:val="002B55C4"/>
    <w:rsid w:val="002C0F0C"/>
    <w:rsid w:val="002D0CA4"/>
    <w:rsid w:val="002D0F48"/>
    <w:rsid w:val="002D6770"/>
    <w:rsid w:val="002D75E3"/>
    <w:rsid w:val="002E4183"/>
    <w:rsid w:val="002E674F"/>
    <w:rsid w:val="002E7C06"/>
    <w:rsid w:val="002F04DB"/>
    <w:rsid w:val="002F18E6"/>
    <w:rsid w:val="002F1D0D"/>
    <w:rsid w:val="002F2011"/>
    <w:rsid w:val="002F4A02"/>
    <w:rsid w:val="002F4F1E"/>
    <w:rsid w:val="00302AC9"/>
    <w:rsid w:val="0030387E"/>
    <w:rsid w:val="003073A1"/>
    <w:rsid w:val="003075D1"/>
    <w:rsid w:val="00312B92"/>
    <w:rsid w:val="00314057"/>
    <w:rsid w:val="00320036"/>
    <w:rsid w:val="0032224B"/>
    <w:rsid w:val="0032336D"/>
    <w:rsid w:val="00325934"/>
    <w:rsid w:val="00326C49"/>
    <w:rsid w:val="00327C62"/>
    <w:rsid w:val="00331F98"/>
    <w:rsid w:val="00332588"/>
    <w:rsid w:val="003336F8"/>
    <w:rsid w:val="00334C7C"/>
    <w:rsid w:val="00337CFE"/>
    <w:rsid w:val="00337F83"/>
    <w:rsid w:val="00337F84"/>
    <w:rsid w:val="003460EE"/>
    <w:rsid w:val="003479B2"/>
    <w:rsid w:val="00350067"/>
    <w:rsid w:val="00354E60"/>
    <w:rsid w:val="00357906"/>
    <w:rsid w:val="00362E80"/>
    <w:rsid w:val="003634D7"/>
    <w:rsid w:val="003657CC"/>
    <w:rsid w:val="00366B4D"/>
    <w:rsid w:val="00367322"/>
    <w:rsid w:val="00367C71"/>
    <w:rsid w:val="0037304A"/>
    <w:rsid w:val="003736E3"/>
    <w:rsid w:val="00377A87"/>
    <w:rsid w:val="00381B26"/>
    <w:rsid w:val="00384477"/>
    <w:rsid w:val="00386960"/>
    <w:rsid w:val="003915AF"/>
    <w:rsid w:val="00393A3C"/>
    <w:rsid w:val="00395C4E"/>
    <w:rsid w:val="003A113C"/>
    <w:rsid w:val="003A20CA"/>
    <w:rsid w:val="003B38E0"/>
    <w:rsid w:val="003B5643"/>
    <w:rsid w:val="003C1A47"/>
    <w:rsid w:val="003D11FA"/>
    <w:rsid w:val="003D4FAA"/>
    <w:rsid w:val="003D6666"/>
    <w:rsid w:val="003D6B22"/>
    <w:rsid w:val="003E3BCB"/>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6CCA"/>
    <w:rsid w:val="005075BF"/>
    <w:rsid w:val="00507D3A"/>
    <w:rsid w:val="00510609"/>
    <w:rsid w:val="005111B5"/>
    <w:rsid w:val="00511369"/>
    <w:rsid w:val="0051149D"/>
    <w:rsid w:val="0052157D"/>
    <w:rsid w:val="00522040"/>
    <w:rsid w:val="00522719"/>
    <w:rsid w:val="00523E52"/>
    <w:rsid w:val="00524C05"/>
    <w:rsid w:val="00524C50"/>
    <w:rsid w:val="00525C3D"/>
    <w:rsid w:val="00525F31"/>
    <w:rsid w:val="005270A9"/>
    <w:rsid w:val="005348E8"/>
    <w:rsid w:val="00534A41"/>
    <w:rsid w:val="00536AED"/>
    <w:rsid w:val="00541E20"/>
    <w:rsid w:val="00544A7B"/>
    <w:rsid w:val="00544B79"/>
    <w:rsid w:val="00545A62"/>
    <w:rsid w:val="00550D84"/>
    <w:rsid w:val="00555605"/>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3AC2"/>
    <w:rsid w:val="005F6418"/>
    <w:rsid w:val="0060269A"/>
    <w:rsid w:val="00605BBE"/>
    <w:rsid w:val="00614092"/>
    <w:rsid w:val="00614B57"/>
    <w:rsid w:val="006154CD"/>
    <w:rsid w:val="00615B4D"/>
    <w:rsid w:val="00617E94"/>
    <w:rsid w:val="006242E9"/>
    <w:rsid w:val="00624CA0"/>
    <w:rsid w:val="006255F1"/>
    <w:rsid w:val="006277A6"/>
    <w:rsid w:val="0063034C"/>
    <w:rsid w:val="00630428"/>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2325"/>
    <w:rsid w:val="006931B8"/>
    <w:rsid w:val="006941A9"/>
    <w:rsid w:val="00697D4F"/>
    <w:rsid w:val="006A080C"/>
    <w:rsid w:val="006A4284"/>
    <w:rsid w:val="006A589D"/>
    <w:rsid w:val="006B0BC3"/>
    <w:rsid w:val="006B61CE"/>
    <w:rsid w:val="006C2509"/>
    <w:rsid w:val="006D29E7"/>
    <w:rsid w:val="006D3C39"/>
    <w:rsid w:val="006D5C4E"/>
    <w:rsid w:val="006D7E10"/>
    <w:rsid w:val="006E0C36"/>
    <w:rsid w:val="006E2A59"/>
    <w:rsid w:val="006E3A22"/>
    <w:rsid w:val="006E5533"/>
    <w:rsid w:val="006F6A9F"/>
    <w:rsid w:val="00702A54"/>
    <w:rsid w:val="00702A9F"/>
    <w:rsid w:val="0070355E"/>
    <w:rsid w:val="00703B58"/>
    <w:rsid w:val="00705712"/>
    <w:rsid w:val="00713BDB"/>
    <w:rsid w:val="00715E72"/>
    <w:rsid w:val="00722A19"/>
    <w:rsid w:val="007239DB"/>
    <w:rsid w:val="00725381"/>
    <w:rsid w:val="00726DC5"/>
    <w:rsid w:val="00734C85"/>
    <w:rsid w:val="00734E3F"/>
    <w:rsid w:val="00734EE3"/>
    <w:rsid w:val="007357DA"/>
    <w:rsid w:val="00740434"/>
    <w:rsid w:val="007405EB"/>
    <w:rsid w:val="007409FE"/>
    <w:rsid w:val="00741FD3"/>
    <w:rsid w:val="0074274E"/>
    <w:rsid w:val="00743375"/>
    <w:rsid w:val="00755CEA"/>
    <w:rsid w:val="00756749"/>
    <w:rsid w:val="007576DC"/>
    <w:rsid w:val="00757BE0"/>
    <w:rsid w:val="007617E1"/>
    <w:rsid w:val="00762C7D"/>
    <w:rsid w:val="00765DD1"/>
    <w:rsid w:val="007724C4"/>
    <w:rsid w:val="00774857"/>
    <w:rsid w:val="0077570C"/>
    <w:rsid w:val="00783C58"/>
    <w:rsid w:val="00794614"/>
    <w:rsid w:val="007A0C86"/>
    <w:rsid w:val="007A22A9"/>
    <w:rsid w:val="007A5629"/>
    <w:rsid w:val="007A7FF0"/>
    <w:rsid w:val="007B0582"/>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002A"/>
    <w:rsid w:val="007E200C"/>
    <w:rsid w:val="007E6609"/>
    <w:rsid w:val="007E7D98"/>
    <w:rsid w:val="007F1BD7"/>
    <w:rsid w:val="007F2ADA"/>
    <w:rsid w:val="007F5863"/>
    <w:rsid w:val="007F79C7"/>
    <w:rsid w:val="00800E43"/>
    <w:rsid w:val="00802E33"/>
    <w:rsid w:val="00804C9E"/>
    <w:rsid w:val="00806981"/>
    <w:rsid w:val="00814F10"/>
    <w:rsid w:val="00815891"/>
    <w:rsid w:val="00817680"/>
    <w:rsid w:val="008244BD"/>
    <w:rsid w:val="00827352"/>
    <w:rsid w:val="00833BF3"/>
    <w:rsid w:val="00833E35"/>
    <w:rsid w:val="00834768"/>
    <w:rsid w:val="008358E6"/>
    <w:rsid w:val="008443A1"/>
    <w:rsid w:val="008455D4"/>
    <w:rsid w:val="00850845"/>
    <w:rsid w:val="0085442F"/>
    <w:rsid w:val="008565EC"/>
    <w:rsid w:val="008613EA"/>
    <w:rsid w:val="00866568"/>
    <w:rsid w:val="008702DC"/>
    <w:rsid w:val="00871497"/>
    <w:rsid w:val="0087346F"/>
    <w:rsid w:val="00875285"/>
    <w:rsid w:val="008754E7"/>
    <w:rsid w:val="00875C83"/>
    <w:rsid w:val="00880D80"/>
    <w:rsid w:val="00881DC8"/>
    <w:rsid w:val="0088229A"/>
    <w:rsid w:val="00890070"/>
    <w:rsid w:val="00894D32"/>
    <w:rsid w:val="008953D6"/>
    <w:rsid w:val="0089703B"/>
    <w:rsid w:val="00897D84"/>
    <w:rsid w:val="008A2154"/>
    <w:rsid w:val="008A382E"/>
    <w:rsid w:val="008B37FC"/>
    <w:rsid w:val="008B3A3A"/>
    <w:rsid w:val="008B7A84"/>
    <w:rsid w:val="008C036F"/>
    <w:rsid w:val="008C077A"/>
    <w:rsid w:val="008C3E43"/>
    <w:rsid w:val="008C40AD"/>
    <w:rsid w:val="008C4B6E"/>
    <w:rsid w:val="008C6A00"/>
    <w:rsid w:val="008C76CD"/>
    <w:rsid w:val="008D0242"/>
    <w:rsid w:val="008D04B2"/>
    <w:rsid w:val="008D1404"/>
    <w:rsid w:val="008E0DFE"/>
    <w:rsid w:val="008E23DB"/>
    <w:rsid w:val="008E3281"/>
    <w:rsid w:val="008E5B3A"/>
    <w:rsid w:val="008E5C09"/>
    <w:rsid w:val="008F4326"/>
    <w:rsid w:val="008F4AC2"/>
    <w:rsid w:val="008F7551"/>
    <w:rsid w:val="008F77D4"/>
    <w:rsid w:val="00901FB8"/>
    <w:rsid w:val="00913AF7"/>
    <w:rsid w:val="00915085"/>
    <w:rsid w:val="0091540C"/>
    <w:rsid w:val="00916F39"/>
    <w:rsid w:val="0091762D"/>
    <w:rsid w:val="009200B6"/>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5569F"/>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329"/>
    <w:rsid w:val="00A233D8"/>
    <w:rsid w:val="00A25F09"/>
    <w:rsid w:val="00A27E6F"/>
    <w:rsid w:val="00A30164"/>
    <w:rsid w:val="00A32187"/>
    <w:rsid w:val="00A35A8B"/>
    <w:rsid w:val="00A4199F"/>
    <w:rsid w:val="00A45EFD"/>
    <w:rsid w:val="00A471EA"/>
    <w:rsid w:val="00A52DC0"/>
    <w:rsid w:val="00A57540"/>
    <w:rsid w:val="00A608D4"/>
    <w:rsid w:val="00A61474"/>
    <w:rsid w:val="00A66A37"/>
    <w:rsid w:val="00A67E12"/>
    <w:rsid w:val="00A73A28"/>
    <w:rsid w:val="00A75137"/>
    <w:rsid w:val="00A82E9E"/>
    <w:rsid w:val="00A84B8A"/>
    <w:rsid w:val="00A968FF"/>
    <w:rsid w:val="00A9750F"/>
    <w:rsid w:val="00AA17D2"/>
    <w:rsid w:val="00AA50D6"/>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23C"/>
    <w:rsid w:val="00AE0CE6"/>
    <w:rsid w:val="00AE1339"/>
    <w:rsid w:val="00AE1936"/>
    <w:rsid w:val="00AE2C1E"/>
    <w:rsid w:val="00AE2F0C"/>
    <w:rsid w:val="00AF238F"/>
    <w:rsid w:val="00AF3B2A"/>
    <w:rsid w:val="00AF68F7"/>
    <w:rsid w:val="00AF6A23"/>
    <w:rsid w:val="00B0191F"/>
    <w:rsid w:val="00B019F4"/>
    <w:rsid w:val="00B0330D"/>
    <w:rsid w:val="00B059E2"/>
    <w:rsid w:val="00B12064"/>
    <w:rsid w:val="00B130B1"/>
    <w:rsid w:val="00B131E3"/>
    <w:rsid w:val="00B1691B"/>
    <w:rsid w:val="00B170E9"/>
    <w:rsid w:val="00B224CA"/>
    <w:rsid w:val="00B22824"/>
    <w:rsid w:val="00B22EF6"/>
    <w:rsid w:val="00B23741"/>
    <w:rsid w:val="00B23C18"/>
    <w:rsid w:val="00B2455C"/>
    <w:rsid w:val="00B30C7E"/>
    <w:rsid w:val="00B3156B"/>
    <w:rsid w:val="00B3364A"/>
    <w:rsid w:val="00B3446C"/>
    <w:rsid w:val="00B408CD"/>
    <w:rsid w:val="00B408DB"/>
    <w:rsid w:val="00B40C69"/>
    <w:rsid w:val="00B4152E"/>
    <w:rsid w:val="00B47E0C"/>
    <w:rsid w:val="00B51546"/>
    <w:rsid w:val="00B5365C"/>
    <w:rsid w:val="00B54E11"/>
    <w:rsid w:val="00B56473"/>
    <w:rsid w:val="00B648F0"/>
    <w:rsid w:val="00B76D95"/>
    <w:rsid w:val="00B80B4B"/>
    <w:rsid w:val="00B93CC1"/>
    <w:rsid w:val="00B94DA5"/>
    <w:rsid w:val="00B96C7B"/>
    <w:rsid w:val="00BA181B"/>
    <w:rsid w:val="00BA2E52"/>
    <w:rsid w:val="00BA3190"/>
    <w:rsid w:val="00BA53E8"/>
    <w:rsid w:val="00BA7429"/>
    <w:rsid w:val="00BB0D3C"/>
    <w:rsid w:val="00BB23E0"/>
    <w:rsid w:val="00BB2D2A"/>
    <w:rsid w:val="00BB55E8"/>
    <w:rsid w:val="00BB6C29"/>
    <w:rsid w:val="00BC2FA7"/>
    <w:rsid w:val="00BC66BC"/>
    <w:rsid w:val="00BD17C7"/>
    <w:rsid w:val="00BD2159"/>
    <w:rsid w:val="00BD6823"/>
    <w:rsid w:val="00BE3958"/>
    <w:rsid w:val="00BE61A2"/>
    <w:rsid w:val="00BE72EB"/>
    <w:rsid w:val="00BF0928"/>
    <w:rsid w:val="00BF1696"/>
    <w:rsid w:val="00BF421F"/>
    <w:rsid w:val="00BF57FD"/>
    <w:rsid w:val="00C024D1"/>
    <w:rsid w:val="00C067DD"/>
    <w:rsid w:val="00C074EE"/>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806F1"/>
    <w:rsid w:val="00C842FB"/>
    <w:rsid w:val="00C915F7"/>
    <w:rsid w:val="00C974E2"/>
    <w:rsid w:val="00CA24E3"/>
    <w:rsid w:val="00CA63AE"/>
    <w:rsid w:val="00CB205C"/>
    <w:rsid w:val="00CB294F"/>
    <w:rsid w:val="00CC06C0"/>
    <w:rsid w:val="00CC185F"/>
    <w:rsid w:val="00CC1FD0"/>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270DF"/>
    <w:rsid w:val="00D30DAD"/>
    <w:rsid w:val="00D31C19"/>
    <w:rsid w:val="00D358FD"/>
    <w:rsid w:val="00D45540"/>
    <w:rsid w:val="00D548E3"/>
    <w:rsid w:val="00D6522B"/>
    <w:rsid w:val="00D70DBC"/>
    <w:rsid w:val="00D73D68"/>
    <w:rsid w:val="00D773D5"/>
    <w:rsid w:val="00D77673"/>
    <w:rsid w:val="00D77A31"/>
    <w:rsid w:val="00D77D8F"/>
    <w:rsid w:val="00D95935"/>
    <w:rsid w:val="00D97337"/>
    <w:rsid w:val="00DA046E"/>
    <w:rsid w:val="00DA2765"/>
    <w:rsid w:val="00DA2A2A"/>
    <w:rsid w:val="00DA3D51"/>
    <w:rsid w:val="00DA51F0"/>
    <w:rsid w:val="00DA5A79"/>
    <w:rsid w:val="00DA7F20"/>
    <w:rsid w:val="00DB2AE2"/>
    <w:rsid w:val="00DB2DF5"/>
    <w:rsid w:val="00DB3609"/>
    <w:rsid w:val="00DB38CB"/>
    <w:rsid w:val="00DB494D"/>
    <w:rsid w:val="00DB58A3"/>
    <w:rsid w:val="00DB60EC"/>
    <w:rsid w:val="00DB6F2E"/>
    <w:rsid w:val="00DB75CA"/>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DF7037"/>
    <w:rsid w:val="00E00E7E"/>
    <w:rsid w:val="00E02AF3"/>
    <w:rsid w:val="00E03BB0"/>
    <w:rsid w:val="00E040CC"/>
    <w:rsid w:val="00E048B1"/>
    <w:rsid w:val="00E0760C"/>
    <w:rsid w:val="00E14EF9"/>
    <w:rsid w:val="00E207DC"/>
    <w:rsid w:val="00E2307A"/>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72599"/>
    <w:rsid w:val="00E82F60"/>
    <w:rsid w:val="00E83754"/>
    <w:rsid w:val="00E9751D"/>
    <w:rsid w:val="00EA0B10"/>
    <w:rsid w:val="00EA1BDF"/>
    <w:rsid w:val="00EA6449"/>
    <w:rsid w:val="00EA6C51"/>
    <w:rsid w:val="00EA7321"/>
    <w:rsid w:val="00EA75E3"/>
    <w:rsid w:val="00EA7D78"/>
    <w:rsid w:val="00EB01B4"/>
    <w:rsid w:val="00EB0A97"/>
    <w:rsid w:val="00EB3529"/>
    <w:rsid w:val="00EB4517"/>
    <w:rsid w:val="00EB5148"/>
    <w:rsid w:val="00EB7589"/>
    <w:rsid w:val="00ED4789"/>
    <w:rsid w:val="00EE10E3"/>
    <w:rsid w:val="00EE3401"/>
    <w:rsid w:val="00EE44C6"/>
    <w:rsid w:val="00EE570A"/>
    <w:rsid w:val="00F00296"/>
    <w:rsid w:val="00F01042"/>
    <w:rsid w:val="00F06497"/>
    <w:rsid w:val="00F10A2A"/>
    <w:rsid w:val="00F170CB"/>
    <w:rsid w:val="00F17386"/>
    <w:rsid w:val="00F20A76"/>
    <w:rsid w:val="00F23630"/>
    <w:rsid w:val="00F35C32"/>
    <w:rsid w:val="00F35DAA"/>
    <w:rsid w:val="00F365E2"/>
    <w:rsid w:val="00F459FB"/>
    <w:rsid w:val="00F46CB0"/>
    <w:rsid w:val="00F51E19"/>
    <w:rsid w:val="00F5384B"/>
    <w:rsid w:val="00F56BE3"/>
    <w:rsid w:val="00F578C5"/>
    <w:rsid w:val="00F70188"/>
    <w:rsid w:val="00F7273A"/>
    <w:rsid w:val="00F74668"/>
    <w:rsid w:val="00F82DD3"/>
    <w:rsid w:val="00F8381A"/>
    <w:rsid w:val="00F84F4F"/>
    <w:rsid w:val="00F871B6"/>
    <w:rsid w:val="00F96DB8"/>
    <w:rsid w:val="00FA177F"/>
    <w:rsid w:val="00FA1E10"/>
    <w:rsid w:val="00FA22B7"/>
    <w:rsid w:val="00FA5307"/>
    <w:rsid w:val="00FB1620"/>
    <w:rsid w:val="00FB1DF3"/>
    <w:rsid w:val="00FB44FB"/>
    <w:rsid w:val="00FB65C1"/>
    <w:rsid w:val="00FC1062"/>
    <w:rsid w:val="00FC14C7"/>
    <w:rsid w:val="00FC3D59"/>
    <w:rsid w:val="00FC3EC7"/>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instalowanie-mebli-ulicznych-6756" TargetMode="External"/><Relationship Id="rId13" Type="http://schemas.openxmlformats.org/officeDocument/2006/relationships/hyperlink" Target="mailto:przetargi@umkonskie.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yperlink" Target="http://www.umkonskie.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8517</Words>
  <Characters>51108</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50</cp:revision>
  <cp:lastPrinted>2020-09-18T06:42:00Z</cp:lastPrinted>
  <dcterms:created xsi:type="dcterms:W3CDTF">2020-07-31T11:24:00Z</dcterms:created>
  <dcterms:modified xsi:type="dcterms:W3CDTF">2020-12-03T11:44:00Z</dcterms:modified>
</cp:coreProperties>
</file>