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B6" w:rsidRPr="00C91C54" w:rsidRDefault="00B364B6" w:rsidP="00B364B6">
      <w:pPr>
        <w:numPr>
          <w:ilvl w:val="0"/>
          <w:numId w:val="0"/>
        </w:numPr>
        <w:jc w:val="center"/>
      </w:pPr>
      <w:r>
        <w:t xml:space="preserve">TOM III IDW </w:t>
      </w:r>
    </w:p>
    <w:p w:rsidR="00B364B6" w:rsidRPr="00C91C54" w:rsidRDefault="00B364B6" w:rsidP="00B364B6">
      <w:pPr>
        <w:numPr>
          <w:ilvl w:val="0"/>
          <w:numId w:val="0"/>
        </w:numPr>
        <w:jc w:val="center"/>
      </w:pPr>
    </w:p>
    <w:p w:rsidR="00B364B6" w:rsidRPr="00C91C54" w:rsidRDefault="00B364B6" w:rsidP="00B364B6">
      <w:pPr>
        <w:numPr>
          <w:ilvl w:val="0"/>
          <w:numId w:val="0"/>
        </w:numPr>
        <w:jc w:val="center"/>
      </w:pPr>
    </w:p>
    <w:p w:rsidR="00B364B6" w:rsidRDefault="00B364B6" w:rsidP="00B364B6">
      <w:pPr>
        <w:numPr>
          <w:ilvl w:val="0"/>
          <w:numId w:val="0"/>
        </w:numPr>
        <w:jc w:val="center"/>
        <w:rPr>
          <w:b/>
        </w:rPr>
      </w:pPr>
      <w:r w:rsidRPr="00C91C54">
        <w:rPr>
          <w:b/>
        </w:rPr>
        <w:t>PRZEDMIOT ZAMÓWIENIA</w:t>
      </w:r>
    </w:p>
    <w:p w:rsidR="00221D1C" w:rsidRPr="00C91C54" w:rsidRDefault="00221D1C" w:rsidP="00B364B6">
      <w:pPr>
        <w:numPr>
          <w:ilvl w:val="0"/>
          <w:numId w:val="0"/>
        </w:numPr>
        <w:jc w:val="center"/>
        <w:rPr>
          <w:b/>
        </w:rPr>
      </w:pPr>
    </w:p>
    <w:p w:rsidR="00221D1C" w:rsidRDefault="00221D1C" w:rsidP="00221D1C">
      <w:pPr>
        <w:numPr>
          <w:ilvl w:val="0"/>
          <w:numId w:val="0"/>
        </w:numPr>
        <w:autoSpaceDE w:val="0"/>
        <w:autoSpaceDN w:val="0"/>
        <w:adjustRightInd w:val="0"/>
      </w:pPr>
      <w:r w:rsidRPr="00B522E7">
        <w:t>Przedmiot</w:t>
      </w:r>
      <w:r>
        <w:t xml:space="preserve">em </w:t>
      </w:r>
      <w:proofErr w:type="spellStart"/>
      <w:r>
        <w:t>zamówienia</w:t>
      </w:r>
      <w:proofErr w:type="spellEnd"/>
      <w:r>
        <w:t xml:space="preserve"> jest rewitalizacja rynku w m. Końskie obejmująca wykonanie </w:t>
      </w:r>
      <w:r w:rsidRPr="00B522E7">
        <w:t>płyty rynku wraz z alejkami parkowymi, fontanną oraz zielenią i obiektam</w:t>
      </w:r>
      <w:r>
        <w:t xml:space="preserve">i małej architektury </w:t>
      </w:r>
      <w:r w:rsidRPr="00B522E7">
        <w:t xml:space="preserve">Zamówienie ma na celu zorganizowanie przestrzeni publicznej </w:t>
      </w:r>
      <w:r>
        <w:t xml:space="preserve"> w obszarze pomiędzy ulicami: Piłsudskiego, Pl. </w:t>
      </w:r>
      <w:r w:rsidR="00DF5BC7">
        <w:t>Kościuszki, Odrowąża i terenem K</w:t>
      </w:r>
      <w:r>
        <w:t>ościoła.</w:t>
      </w:r>
    </w:p>
    <w:p w:rsidR="00221D1C" w:rsidRPr="00B522E7" w:rsidRDefault="00221D1C" w:rsidP="00221D1C">
      <w:pPr>
        <w:numPr>
          <w:ilvl w:val="0"/>
          <w:numId w:val="0"/>
        </w:numPr>
        <w:autoSpaceDE w:val="0"/>
        <w:autoSpaceDN w:val="0"/>
        <w:adjustRightInd w:val="0"/>
      </w:pPr>
      <w:r w:rsidRPr="00B522E7">
        <w:t>Inwestycja realizowana będzie na działkach nr 4995/10, 4995/11, 4995/12, 4995/13, 4995/14, 4995/15, 4995/20, 4995/16, 4995/18,4995/19, obr.0002 Końskie, 260503-4 Końskie miasto).</w:t>
      </w:r>
    </w:p>
    <w:p w:rsidR="00B364B6" w:rsidRPr="00C91C54" w:rsidRDefault="00B364B6" w:rsidP="00B364B6">
      <w:pPr>
        <w:numPr>
          <w:ilvl w:val="0"/>
          <w:numId w:val="0"/>
        </w:numPr>
      </w:pPr>
    </w:p>
    <w:p w:rsidR="000011F6" w:rsidRPr="00E72599" w:rsidRDefault="000011F6" w:rsidP="000011F6">
      <w:pPr>
        <w:numPr>
          <w:ilvl w:val="8"/>
          <w:numId w:val="0"/>
        </w:numPr>
        <w:tabs>
          <w:tab w:val="num" w:pos="0"/>
        </w:tabs>
        <w:jc w:val="both"/>
      </w:pPr>
      <w:r w:rsidRPr="00E72599">
        <w:t xml:space="preserve">Szczegółowy opis przedmiotu </w:t>
      </w:r>
      <w:proofErr w:type="spellStart"/>
      <w:r w:rsidRPr="00E72599">
        <w:t>zamówienia</w:t>
      </w:r>
      <w:proofErr w:type="spellEnd"/>
      <w:r w:rsidRPr="00E72599">
        <w:t xml:space="preserve"> zawierają: </w:t>
      </w:r>
    </w:p>
    <w:p w:rsidR="000011F6" w:rsidRPr="00E72599" w:rsidRDefault="000011F6" w:rsidP="000011F6">
      <w:pPr>
        <w:numPr>
          <w:ilvl w:val="8"/>
          <w:numId w:val="0"/>
        </w:numPr>
        <w:tabs>
          <w:tab w:val="num" w:pos="0"/>
        </w:tabs>
        <w:jc w:val="both"/>
      </w:pPr>
      <w:r>
        <w:t>-  dokumentacja projektowa,</w:t>
      </w:r>
    </w:p>
    <w:p w:rsidR="000011F6" w:rsidRPr="00E72599" w:rsidRDefault="000011F6" w:rsidP="000011F6">
      <w:pPr>
        <w:numPr>
          <w:ilvl w:val="8"/>
          <w:numId w:val="0"/>
        </w:numPr>
        <w:tabs>
          <w:tab w:val="num" w:pos="0"/>
        </w:tabs>
        <w:jc w:val="both"/>
      </w:pPr>
      <w:r w:rsidRPr="00E72599">
        <w:t>- specyfikacje techniczne wykona</w:t>
      </w:r>
      <w:r>
        <w:t xml:space="preserve">nia i odbioru </w:t>
      </w:r>
      <w:proofErr w:type="spellStart"/>
      <w:r>
        <w:t>robót</w:t>
      </w:r>
      <w:proofErr w:type="spellEnd"/>
      <w:r>
        <w:t xml:space="preserve"> budowlanych,</w:t>
      </w:r>
    </w:p>
    <w:p w:rsidR="000011F6" w:rsidRPr="00E72599" w:rsidRDefault="000011F6" w:rsidP="000011F6">
      <w:pPr>
        <w:numPr>
          <w:ilvl w:val="8"/>
          <w:numId w:val="0"/>
        </w:numPr>
        <w:tabs>
          <w:tab w:val="num" w:pos="0"/>
        </w:tabs>
        <w:jc w:val="both"/>
      </w:pPr>
      <w:r w:rsidRPr="00E72599">
        <w:t xml:space="preserve">- przedmiary </w:t>
      </w:r>
      <w:proofErr w:type="spellStart"/>
      <w:r w:rsidRPr="00E72599">
        <w:t>robót</w:t>
      </w:r>
      <w:proofErr w:type="spellEnd"/>
      <w:r w:rsidRPr="00E72599">
        <w:t xml:space="preserve"> (forma pomocnicza) </w:t>
      </w:r>
    </w:p>
    <w:p w:rsidR="000011F6" w:rsidRPr="00E72599" w:rsidRDefault="000011F6" w:rsidP="000011F6">
      <w:pPr>
        <w:numPr>
          <w:ilvl w:val="8"/>
          <w:numId w:val="0"/>
        </w:numPr>
        <w:tabs>
          <w:tab w:val="num" w:pos="0"/>
        </w:tabs>
        <w:jc w:val="both"/>
      </w:pPr>
      <w:r w:rsidRPr="00E72599">
        <w:t xml:space="preserve">Z uwagi na ryczałtowy charakter wynagrodzenia załączone przedmiary </w:t>
      </w:r>
      <w:proofErr w:type="spellStart"/>
      <w:r w:rsidRPr="00E72599">
        <w:t>robót</w:t>
      </w:r>
      <w:proofErr w:type="spellEnd"/>
      <w:r w:rsidRPr="00E72599">
        <w:t xml:space="preserve"> stanowią element pomocniczy przy kalkulacji ceny ofertowej. Roboty muszą być wykonane zgodnie z dokumentacją projektową, zasadami wiedzy technicznej i sztuki budowlanej obowiązującymi przepisami, normami. </w:t>
      </w:r>
    </w:p>
    <w:p w:rsidR="000A69BB" w:rsidRDefault="000A69BB" w:rsidP="000A69BB">
      <w:pPr>
        <w:numPr>
          <w:ilvl w:val="0"/>
          <w:numId w:val="0"/>
        </w:numPr>
      </w:pPr>
      <w:r>
        <w:t>Wyroby użyte w zamówieniu muszą być wyprodukowane na terenie UE. Materiał kamienny i elementy małej architektury nie powinny się różnić od tych, które są użyte przy przebudowie ulic wokół rynku.</w:t>
      </w:r>
    </w:p>
    <w:p w:rsidR="00B364B6" w:rsidRPr="00C91C54" w:rsidRDefault="00B364B6" w:rsidP="00B364B6">
      <w:pPr>
        <w:numPr>
          <w:ilvl w:val="0"/>
          <w:numId w:val="0"/>
        </w:numPr>
      </w:pPr>
    </w:p>
    <w:p w:rsidR="00B364B6" w:rsidRPr="00C91C54" w:rsidRDefault="00B364B6" w:rsidP="00B364B6">
      <w:pPr>
        <w:numPr>
          <w:ilvl w:val="0"/>
          <w:numId w:val="0"/>
        </w:numPr>
        <w:suppressAutoHyphens w:val="0"/>
        <w:ind w:left="720"/>
        <w:jc w:val="both"/>
      </w:pPr>
    </w:p>
    <w:p w:rsidR="00B364B6" w:rsidRPr="00C91C54" w:rsidRDefault="00B364B6" w:rsidP="00B364B6">
      <w:pPr>
        <w:tabs>
          <w:tab w:val="clear" w:pos="820"/>
          <w:tab w:val="num" w:pos="0"/>
        </w:tabs>
        <w:spacing w:after="120"/>
        <w:ind w:left="0" w:firstLine="0"/>
        <w:jc w:val="both"/>
        <w:rPr>
          <w:b/>
        </w:rPr>
      </w:pPr>
      <w:r w:rsidRPr="00C91C54">
        <w:rPr>
          <w:b/>
        </w:rPr>
        <w:t>Uwagi: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 xml:space="preserve">Jeżeli w SIWZ lub załącznikach została wskazana nazwa producenta, znak towarowy, patent lub pochodzenie w stosunku do określonych materiałów, urządzeń, itp. Zamawiający wymaga, aby traktować takie wskazanie, jako przykładowe i dopuszcza zastosowanie przy realizacji </w:t>
      </w:r>
      <w:proofErr w:type="spellStart"/>
      <w:r w:rsidRPr="00C91C54">
        <w:t>zamówienia</w:t>
      </w:r>
      <w:proofErr w:type="spellEnd"/>
      <w:r w:rsidRPr="00C91C54">
        <w:t xml:space="preserve"> materiałów, urządzeń równoważnych o parametrach nie gorszych niż wskazane w dokumentacji technicznej.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 xml:space="preserve">Dopuszcza się rozwiązania równoważne opisywanym za pomocą norm, aprobat, specyfikacji technicznych lub systemów odniesienia, o których mowa w art. 30 ust. 1-3 ustawy </w:t>
      </w:r>
      <w:proofErr w:type="spellStart"/>
      <w:r w:rsidRPr="00C91C54">
        <w:t>pzp</w:t>
      </w:r>
      <w:proofErr w:type="spellEnd"/>
      <w:r w:rsidRPr="00C91C54">
        <w:t>.</w:t>
      </w:r>
    </w:p>
    <w:p w:rsidR="006C15BB" w:rsidRDefault="00B364B6" w:rsidP="00B364B6">
      <w:pPr>
        <w:numPr>
          <w:ilvl w:val="0"/>
          <w:numId w:val="0"/>
        </w:numPr>
        <w:tabs>
          <w:tab w:val="num" w:pos="0"/>
        </w:tabs>
        <w:rPr>
          <w:bCs/>
        </w:rPr>
      </w:pPr>
      <w:r w:rsidRPr="00C91C54">
        <w:rPr>
          <w:bCs/>
        </w:rPr>
        <w:t>W przypadku rozbieżności w dokumentacji, a udzielonymi odpowiedziami w</w:t>
      </w:r>
      <w:r>
        <w:rPr>
          <w:bCs/>
        </w:rPr>
        <w:t xml:space="preserve"> postępowaniu </w:t>
      </w:r>
      <w:r w:rsidRPr="00C91C54">
        <w:rPr>
          <w:bCs/>
        </w:rPr>
        <w:t>przetargowym, należy brać pod uwagę udzielone odpowiedzi</w:t>
      </w:r>
    </w:p>
    <w:p w:rsidR="001D5F1B" w:rsidRPr="001D5F1B" w:rsidRDefault="001D5F1B" w:rsidP="001D5F1B">
      <w:pPr>
        <w:numPr>
          <w:ilvl w:val="0"/>
          <w:numId w:val="0"/>
        </w:numPr>
        <w:jc w:val="both"/>
      </w:pPr>
      <w:r w:rsidRPr="001D5F1B">
        <w:t xml:space="preserve">Standardy jakościowe oraz dostępność projektu dla osób niepełnosprawnych zostały określone w dokumentacji projektowej oraz w treści specyfikacji technicznej wykonania i odbioru </w:t>
      </w:r>
      <w:proofErr w:type="spellStart"/>
      <w:r w:rsidRPr="001D5F1B">
        <w:t>robót</w:t>
      </w:r>
      <w:proofErr w:type="spellEnd"/>
      <w:r w:rsidRPr="001D5F1B">
        <w:t xml:space="preserve"> </w:t>
      </w:r>
    </w:p>
    <w:p w:rsidR="001D5F1B" w:rsidRPr="001D5F1B" w:rsidRDefault="001D5F1B" w:rsidP="001D5F1B">
      <w:pPr>
        <w:numPr>
          <w:ilvl w:val="0"/>
          <w:numId w:val="0"/>
        </w:numPr>
      </w:pPr>
      <w:r w:rsidRPr="001D5F1B">
        <w:t xml:space="preserve">Gwarancja jakości na materiały i roboty budowlane </w:t>
      </w:r>
      <w:r w:rsidRPr="001D5F1B">
        <w:tab/>
      </w:r>
      <w:r w:rsidRPr="001D5F1B">
        <w:br/>
        <w:t xml:space="preserve">Wykonawca zobowiązany jest udzielić na zastosowane materiały i roboty budowlane min. 36 </w:t>
      </w:r>
      <w:proofErr w:type="spellStart"/>
      <w:r w:rsidRPr="001D5F1B">
        <w:t>m-cy</w:t>
      </w:r>
      <w:proofErr w:type="spellEnd"/>
      <w:r w:rsidRPr="001D5F1B">
        <w:t xml:space="preserve"> licząc od dnia podpisania protokołu odbioru końcowego bez uwag. O</w:t>
      </w:r>
      <w:r w:rsidR="000011F6">
        <w:t xml:space="preserve">kres rękojmi jest równoznaczny </w:t>
      </w:r>
      <w:r w:rsidRPr="001D5F1B">
        <w:t>z okresem gwarancji określonym przez Wykonawcę w formularzu ofertowym.</w:t>
      </w:r>
    </w:p>
    <w:p w:rsidR="001D5F1B" w:rsidRPr="001D5F1B" w:rsidRDefault="001D5F1B" w:rsidP="001D5F1B">
      <w:pPr>
        <w:numPr>
          <w:ilvl w:val="0"/>
          <w:numId w:val="0"/>
        </w:numPr>
        <w:tabs>
          <w:tab w:val="num" w:pos="0"/>
        </w:tabs>
        <w:rPr>
          <w:bCs/>
        </w:rPr>
      </w:pPr>
    </w:p>
    <w:p w:rsidR="00D0057C" w:rsidRPr="0021622F" w:rsidRDefault="00D0057C" w:rsidP="00D0057C">
      <w:pPr>
        <w:numPr>
          <w:ilvl w:val="0"/>
          <w:numId w:val="0"/>
        </w:numPr>
        <w:suppressAutoHyphens w:val="0"/>
        <w:spacing w:after="160" w:line="259" w:lineRule="auto"/>
        <w:ind w:left="708" w:hanging="708"/>
        <w:contextualSpacing/>
        <w:jc w:val="both"/>
        <w:rPr>
          <w:lang w:eastAsia="pl-PL"/>
        </w:rPr>
      </w:pPr>
      <w:r w:rsidRPr="0021622F">
        <w:rPr>
          <w:lang w:eastAsia="pl-PL"/>
        </w:rPr>
        <w:t xml:space="preserve">Wymagania, o których mowa w art. 29 ust. 3a ustawy Prawo zamówień publicznych: </w:t>
      </w:r>
    </w:p>
    <w:p w:rsidR="00B364B6" w:rsidRPr="00B364B6" w:rsidRDefault="00B364B6" w:rsidP="00B364B6">
      <w:pPr>
        <w:numPr>
          <w:ilvl w:val="0"/>
          <w:numId w:val="0"/>
        </w:numPr>
        <w:ind w:left="820" w:hanging="720"/>
      </w:pPr>
    </w:p>
    <w:p w:rsidR="00B364B6" w:rsidRPr="00C91C54" w:rsidRDefault="00B364B6" w:rsidP="00B364B6">
      <w:pPr>
        <w:numPr>
          <w:ilvl w:val="0"/>
          <w:numId w:val="0"/>
        </w:numPr>
        <w:jc w:val="both"/>
      </w:pPr>
      <w:r w:rsidRPr="00B364B6">
        <w:rPr>
          <w:b/>
        </w:rPr>
        <w:t>IV</w:t>
      </w:r>
      <w:r>
        <w:t xml:space="preserve"> </w:t>
      </w:r>
      <w:r w:rsidRPr="00C91C54">
        <w:t xml:space="preserve">Zamawiający stosownie do art. 29 ust. 3a ustawy, wymaga </w:t>
      </w:r>
      <w:r>
        <w:t xml:space="preserve">aby </w:t>
      </w:r>
      <w:r w:rsidRPr="00C91C54">
        <w:t xml:space="preserve">osoby wykonujące czynności w zakresie realizacji przedmiotu </w:t>
      </w:r>
      <w:proofErr w:type="spellStart"/>
      <w:r w:rsidRPr="00C91C54">
        <w:t>zamówienia</w:t>
      </w:r>
      <w:proofErr w:type="spellEnd"/>
      <w:r w:rsidRPr="00C91C54">
        <w:t xml:space="preserve">, których wykonanie polega na wykonywaniu pracy w sposób określony wart. 22 § 1* ustawy z dnia 26 czerwca 1974 r. - </w:t>
      </w:r>
      <w:r w:rsidRPr="00C91C54">
        <w:lastRenderedPageBreak/>
        <w:t xml:space="preserve">Kodeks pracy, zostały zatrudnione przez wykonawcę lub podwykonawcę na podstawie umowy o pracę. </w:t>
      </w:r>
    </w:p>
    <w:p w:rsidR="00B364B6" w:rsidRPr="00C91C54" w:rsidRDefault="00B364B6" w:rsidP="00B364B6">
      <w:pPr>
        <w:numPr>
          <w:ilvl w:val="0"/>
          <w:numId w:val="0"/>
        </w:numPr>
        <w:spacing w:after="120"/>
        <w:jc w:val="both"/>
      </w:pPr>
      <w:r w:rsidRPr="00C91C54">
        <w:t xml:space="preserve">Wykonawca lub podwykonawca zatrudni wyżej wymienione osoby na okres realizacji </w:t>
      </w:r>
      <w:proofErr w:type="spellStart"/>
      <w:r w:rsidRPr="00C91C54">
        <w:t>zamówienia</w:t>
      </w:r>
      <w:proofErr w:type="spellEnd"/>
      <w:r w:rsidRPr="00C91C54">
        <w:t xml:space="preserve">. </w:t>
      </w:r>
      <w:r w:rsidRPr="00C91C54">
        <w:br/>
        <w:t xml:space="preserve">W przypadku rozwiązania stosunku pracy przed zakończeniem tego okresu, zobowiązuje się do niezwłocznego zatrudnienia na to miejsce innej osoby. </w:t>
      </w:r>
    </w:p>
    <w:p w:rsidR="00B364B6" w:rsidRPr="00F14834" w:rsidRDefault="00B364B6" w:rsidP="00B364B6">
      <w:pPr>
        <w:numPr>
          <w:ilvl w:val="0"/>
          <w:numId w:val="0"/>
        </w:numPr>
        <w:spacing w:after="120"/>
        <w:jc w:val="both"/>
        <w:rPr>
          <w:sz w:val="20"/>
          <w:szCs w:val="20"/>
        </w:rPr>
      </w:pPr>
      <w:r w:rsidRPr="00F14834">
        <w:rPr>
          <w:sz w:val="20"/>
          <w:szCs w:val="20"/>
        </w:rPr>
        <w:t xml:space="preserve">*art. 22 § 1 ustawy z dnia 26 czerwca 1976 r. -Kodeks pracy: Przez nawiązanie stosunku pracy pracownik zobowiązuje się do wykonywania pracy określonego rodzaju na rzecz pracodawcy i pod jego kierownictwem oraz w miejscu i czasie wyznaczonym </w:t>
      </w:r>
      <w:r>
        <w:rPr>
          <w:sz w:val="20"/>
          <w:szCs w:val="20"/>
        </w:rPr>
        <w:t>przez pracodawcę, a pracodawca do zatrudniania pracownika za </w:t>
      </w:r>
      <w:r w:rsidRPr="00F14834">
        <w:rPr>
          <w:sz w:val="20"/>
          <w:szCs w:val="20"/>
        </w:rPr>
        <w:t xml:space="preserve">wynagrodzeniem. </w:t>
      </w:r>
    </w:p>
    <w:p w:rsidR="00B364B6" w:rsidRPr="00C91C54" w:rsidRDefault="00B364B6" w:rsidP="00B364B6">
      <w:pPr>
        <w:numPr>
          <w:ilvl w:val="0"/>
          <w:numId w:val="0"/>
        </w:numPr>
        <w:spacing w:after="120"/>
        <w:jc w:val="both"/>
      </w:pPr>
      <w:r w:rsidRPr="00C91C54">
        <w:t xml:space="preserve">Rodzaj czynności niezbędnych do realizacji </w:t>
      </w:r>
      <w:proofErr w:type="spellStart"/>
      <w:r w:rsidRPr="00C91C54">
        <w:t>zamówienia</w:t>
      </w:r>
      <w:proofErr w:type="spellEnd"/>
      <w:r w:rsidRPr="00C91C54">
        <w:t xml:space="preserve">, których dotyczą wymagania zatrudnienia na podstawie umowy o pracę przez wykonawcę lub podwykonawcę osób wykonujących czynności w trakcie realizacji </w:t>
      </w:r>
      <w:proofErr w:type="spellStart"/>
      <w:r w:rsidRPr="00C91C54">
        <w:t>zamówienia</w:t>
      </w:r>
      <w:proofErr w:type="spellEnd"/>
      <w:r w:rsidRPr="00C91C54">
        <w:t xml:space="preserve">: </w:t>
      </w:r>
    </w:p>
    <w:p w:rsidR="000011F6" w:rsidRDefault="00B364B6" w:rsidP="00B364B6">
      <w:pPr>
        <w:numPr>
          <w:ilvl w:val="0"/>
          <w:numId w:val="0"/>
        </w:numPr>
        <w:spacing w:after="120"/>
        <w:jc w:val="both"/>
        <w:rPr>
          <w:b/>
        </w:rPr>
      </w:pPr>
      <w:r w:rsidRPr="00B364B6">
        <w:rPr>
          <w:b/>
        </w:rPr>
        <w:t xml:space="preserve">czynności </w:t>
      </w:r>
      <w:r w:rsidR="000011F6">
        <w:rPr>
          <w:b/>
        </w:rPr>
        <w:t xml:space="preserve">wynikające z przedmiaru </w:t>
      </w:r>
      <w:proofErr w:type="spellStart"/>
      <w:r w:rsidR="000011F6">
        <w:rPr>
          <w:b/>
        </w:rPr>
        <w:t>robót</w:t>
      </w:r>
      <w:proofErr w:type="spellEnd"/>
      <w:r w:rsidR="000011F6">
        <w:rPr>
          <w:b/>
        </w:rPr>
        <w:t xml:space="preserve"> </w:t>
      </w:r>
    </w:p>
    <w:p w:rsidR="00B364B6" w:rsidRPr="00C91C54" w:rsidRDefault="00B364B6" w:rsidP="00B364B6">
      <w:pPr>
        <w:numPr>
          <w:ilvl w:val="0"/>
          <w:numId w:val="0"/>
        </w:numPr>
        <w:spacing w:after="120"/>
        <w:jc w:val="both"/>
      </w:pPr>
      <w:r w:rsidRPr="00C91C54">
        <w:t xml:space="preserve">Sankcje z tytułu niespełnienia wymagań w zakresie zatrudnienia. </w:t>
      </w:r>
    </w:p>
    <w:p w:rsidR="00B364B6" w:rsidRPr="00C91C54" w:rsidRDefault="00B364B6" w:rsidP="00B364B6">
      <w:pPr>
        <w:numPr>
          <w:ilvl w:val="0"/>
          <w:numId w:val="0"/>
        </w:numPr>
        <w:jc w:val="both"/>
      </w:pPr>
      <w:r w:rsidRPr="00C91C54">
        <w:t xml:space="preserve">W przypadku nie przedstawienia w terminie </w:t>
      </w:r>
      <w:r>
        <w:t>10 dni licząc od daty podpisania umowy dokumentów potwierdzających zatrudnienie wymaganych osób- oświadczenia wykonawcy lub podwykonawcy o zatrudnieniu na podstawie umowy o pracę osób wykonujący</w:t>
      </w:r>
      <w:r w:rsidR="00D0057C">
        <w:t xml:space="preserve">ch czynności określone w TOM III IDW </w:t>
      </w:r>
      <w:r>
        <w:t xml:space="preserve"> </w:t>
      </w:r>
      <w:proofErr w:type="spellStart"/>
      <w:r>
        <w:t>pkt</w:t>
      </w:r>
      <w:proofErr w:type="spellEnd"/>
      <w:r>
        <w:t xml:space="preserve"> 4  </w:t>
      </w:r>
      <w:r w:rsidRPr="00C91C54">
        <w:t>wykonawca zapłaci zamawiającemu karę w wysokości 10 000,00  PLN.</w:t>
      </w:r>
    </w:p>
    <w:p w:rsidR="00D0057C" w:rsidRPr="0021622F" w:rsidRDefault="00D0057C" w:rsidP="00D0057C">
      <w:pPr>
        <w:numPr>
          <w:ilvl w:val="0"/>
          <w:numId w:val="0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21622F">
        <w:rPr>
          <w:lang w:eastAsia="pl-PL"/>
        </w:rPr>
        <w:t xml:space="preserve">W przypadku uzasadnionych wątpliwości co do przestrzegania prawa pracy przez wykonawcę lub podwykonawcę, Zamawiający może zwrócić się o przeprowadzenie kontroli przez Państwową Inspekcję Pracy.  </w:t>
      </w:r>
    </w:p>
    <w:p w:rsidR="00B364B6" w:rsidRDefault="00B364B6" w:rsidP="00B364B6">
      <w:pPr>
        <w:numPr>
          <w:ilvl w:val="0"/>
          <w:numId w:val="0"/>
        </w:numPr>
        <w:ind w:left="820"/>
      </w:pPr>
    </w:p>
    <w:sectPr w:rsidR="00B364B6" w:rsidSect="00117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43" w:rsidRDefault="00797F43" w:rsidP="00B364B6">
      <w:r>
        <w:separator/>
      </w:r>
    </w:p>
  </w:endnote>
  <w:endnote w:type="continuationSeparator" w:id="0">
    <w:p w:rsidR="00797F43" w:rsidRDefault="00797F43" w:rsidP="00B3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1C" w:rsidRDefault="00221D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1C" w:rsidRDefault="00221D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1C" w:rsidRDefault="00221D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43" w:rsidRDefault="00797F43" w:rsidP="00B364B6">
      <w:r>
        <w:separator/>
      </w:r>
    </w:p>
  </w:footnote>
  <w:footnote w:type="continuationSeparator" w:id="0">
    <w:p w:rsidR="00797F43" w:rsidRDefault="00797F43" w:rsidP="00B36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1C" w:rsidRDefault="00221D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B364B6" w:rsidRPr="00724C06" w:rsidTr="00724C06">
      <w:tc>
        <w:tcPr>
          <w:tcW w:w="2660" w:type="dxa"/>
          <w:vAlign w:val="center"/>
        </w:tcPr>
        <w:p w:rsidR="00B364B6" w:rsidRPr="00724C06" w:rsidRDefault="001677AF" w:rsidP="00221D1C">
          <w:pPr>
            <w:numPr>
              <w:ilvl w:val="0"/>
              <w:numId w:val="0"/>
            </w:numPr>
            <w:ind w:left="820" w:hanging="720"/>
          </w:pPr>
          <w:r w:rsidRPr="001677AF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B364B6" w:rsidRPr="00724C06" w:rsidRDefault="001677AF" w:rsidP="00724C06">
          <w:pPr>
            <w:ind w:left="34"/>
            <w:jc w:val="center"/>
          </w:pPr>
          <w:r w:rsidRPr="001677AF">
            <w:rPr>
              <w:noProof/>
              <w:lang w:eastAsia="pl-PL"/>
            </w:rPr>
            <w:pict>
              <v:shape id="Obraz 54" o:spid="_x0000_i1026" type="#_x0000_t75" alt="Herb województwa Świętokrzyskiego" style="width:90.75pt;height:42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B364B6" w:rsidRPr="00724C06" w:rsidRDefault="00B364B6" w:rsidP="00B364B6">
          <w:pPr>
            <w:numPr>
              <w:ilvl w:val="0"/>
              <w:numId w:val="0"/>
            </w:numPr>
            <w:ind w:left="820" w:right="-108" w:hanging="720"/>
          </w:pPr>
          <w:r>
            <w:rPr>
              <w:noProof/>
              <w:lang w:eastAsia="pl-PL"/>
            </w:rPr>
            <w:t xml:space="preserve">      </w:t>
          </w:r>
          <w:r w:rsidR="001677AF" w:rsidRPr="001677AF"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B364B6" w:rsidRDefault="00B364B6" w:rsidP="00B364B6">
    <w:pPr>
      <w:pStyle w:val="Nagwek"/>
      <w:numPr>
        <w:ilvl w:val="0"/>
        <w:numId w:val="0"/>
      </w:numPr>
      <w:ind w:left="820" w:hanging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1C" w:rsidRDefault="00221D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1"/>
      <w:numFmt w:val="upperRoman"/>
      <w:pStyle w:val="Stopka"/>
      <w:lvlText w:val="%1."/>
      <w:lvlJc w:val="left"/>
      <w:pPr>
        <w:tabs>
          <w:tab w:val="num" w:pos="820"/>
        </w:tabs>
        <w:ind w:left="820" w:hanging="720"/>
      </w:pPr>
    </w:lvl>
  </w:abstractNum>
  <w:abstractNum w:abstractNumId="1">
    <w:nsid w:val="01137521"/>
    <w:multiLevelType w:val="multilevel"/>
    <w:tmpl w:val="F8A8F7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CB5433"/>
    <w:multiLevelType w:val="hybridMultilevel"/>
    <w:tmpl w:val="DFB6E240"/>
    <w:lvl w:ilvl="0" w:tplc="D88865F6">
      <w:start w:val="1"/>
      <w:numFmt w:val="decimal"/>
      <w:pStyle w:val="Nagwek1"/>
      <w:lvlText w:val="%1."/>
      <w:lvlJc w:val="left"/>
      <w:pPr>
        <w:ind w:left="720" w:hanging="360"/>
      </w:pPr>
    </w:lvl>
    <w:lvl w:ilvl="1" w:tplc="F856B454" w:tentative="1">
      <w:start w:val="1"/>
      <w:numFmt w:val="lowerLetter"/>
      <w:lvlText w:val="%2."/>
      <w:lvlJc w:val="left"/>
      <w:pPr>
        <w:ind w:left="1440" w:hanging="360"/>
      </w:pPr>
    </w:lvl>
    <w:lvl w:ilvl="2" w:tplc="6CB6F95A" w:tentative="1">
      <w:start w:val="1"/>
      <w:numFmt w:val="lowerRoman"/>
      <w:lvlText w:val="%3."/>
      <w:lvlJc w:val="right"/>
      <w:pPr>
        <w:ind w:left="2160" w:hanging="180"/>
      </w:pPr>
    </w:lvl>
    <w:lvl w:ilvl="3" w:tplc="8AE27A2A" w:tentative="1">
      <w:start w:val="1"/>
      <w:numFmt w:val="decimal"/>
      <w:lvlText w:val="%4."/>
      <w:lvlJc w:val="left"/>
      <w:pPr>
        <w:ind w:left="2880" w:hanging="360"/>
      </w:pPr>
    </w:lvl>
    <w:lvl w:ilvl="4" w:tplc="FC74715A" w:tentative="1">
      <w:start w:val="1"/>
      <w:numFmt w:val="lowerLetter"/>
      <w:lvlText w:val="%5."/>
      <w:lvlJc w:val="left"/>
      <w:pPr>
        <w:ind w:left="3600" w:hanging="360"/>
      </w:pPr>
    </w:lvl>
    <w:lvl w:ilvl="5" w:tplc="E7846750" w:tentative="1">
      <w:start w:val="1"/>
      <w:numFmt w:val="lowerRoman"/>
      <w:lvlText w:val="%6."/>
      <w:lvlJc w:val="right"/>
      <w:pPr>
        <w:ind w:left="4320" w:hanging="180"/>
      </w:pPr>
    </w:lvl>
    <w:lvl w:ilvl="6" w:tplc="DC7C05E0" w:tentative="1">
      <w:start w:val="1"/>
      <w:numFmt w:val="decimal"/>
      <w:lvlText w:val="%7."/>
      <w:lvlJc w:val="left"/>
      <w:pPr>
        <w:ind w:left="5040" w:hanging="360"/>
      </w:pPr>
    </w:lvl>
    <w:lvl w:ilvl="7" w:tplc="9E661EB8" w:tentative="1">
      <w:start w:val="1"/>
      <w:numFmt w:val="lowerLetter"/>
      <w:lvlText w:val="%8."/>
      <w:lvlJc w:val="left"/>
      <w:pPr>
        <w:ind w:left="5760" w:hanging="360"/>
      </w:pPr>
    </w:lvl>
    <w:lvl w:ilvl="8" w:tplc="FCB09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73EF"/>
    <w:multiLevelType w:val="multilevel"/>
    <w:tmpl w:val="920C751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4">
    <w:nsid w:val="21BE1D9D"/>
    <w:multiLevelType w:val="hybridMultilevel"/>
    <w:tmpl w:val="730C36C0"/>
    <w:name w:val="Outline"/>
    <w:lvl w:ilvl="0" w:tplc="63B81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762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4D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8C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2B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04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84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A9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E1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F37CF"/>
    <w:multiLevelType w:val="hybridMultilevel"/>
    <w:tmpl w:val="7F648A9C"/>
    <w:lvl w:ilvl="0" w:tplc="D7FEBC7A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758C2"/>
    <w:multiLevelType w:val="hybridMultilevel"/>
    <w:tmpl w:val="CA581084"/>
    <w:lvl w:ilvl="0" w:tplc="04150005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04C83"/>
    <w:multiLevelType w:val="multilevel"/>
    <w:tmpl w:val="1C401A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0"/>
        </w:tabs>
        <w:ind w:left="149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55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0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364B6"/>
    <w:rsid w:val="000011F6"/>
    <w:rsid w:val="000A69BB"/>
    <w:rsid w:val="00117DB2"/>
    <w:rsid w:val="001677AF"/>
    <w:rsid w:val="001D5F1B"/>
    <w:rsid w:val="002039D5"/>
    <w:rsid w:val="00221D1C"/>
    <w:rsid w:val="0038353B"/>
    <w:rsid w:val="00437558"/>
    <w:rsid w:val="004B0DB1"/>
    <w:rsid w:val="00586A54"/>
    <w:rsid w:val="005F4A66"/>
    <w:rsid w:val="00797F43"/>
    <w:rsid w:val="007B55E7"/>
    <w:rsid w:val="00851442"/>
    <w:rsid w:val="00A06822"/>
    <w:rsid w:val="00AD5227"/>
    <w:rsid w:val="00B00529"/>
    <w:rsid w:val="00B05486"/>
    <w:rsid w:val="00B364B6"/>
    <w:rsid w:val="00D0057C"/>
    <w:rsid w:val="00D519BA"/>
    <w:rsid w:val="00DF172B"/>
    <w:rsid w:val="00DF5BC7"/>
    <w:rsid w:val="00F1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B6"/>
    <w:pPr>
      <w:numPr>
        <w:ilvl w:val="8"/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64B6"/>
    <w:pPr>
      <w:keepNext/>
      <w:numPr>
        <w:ilvl w:val="0"/>
        <w:numId w:val="2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64B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B364B6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B364B6"/>
    <w:pPr>
      <w:tabs>
        <w:tab w:val="clear" w:pos="82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64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64B6"/>
    <w:pPr>
      <w:tabs>
        <w:tab w:val="clear" w:pos="82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64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1D5F1B"/>
    <w:pPr>
      <w:numPr>
        <w:ilvl w:val="0"/>
        <w:numId w:val="0"/>
      </w:num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00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011F6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11</cp:revision>
  <dcterms:created xsi:type="dcterms:W3CDTF">2020-07-31T11:45:00Z</dcterms:created>
  <dcterms:modified xsi:type="dcterms:W3CDTF">2020-09-16T13:46:00Z</dcterms:modified>
</cp:coreProperties>
</file>