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FF57F6" w:rsidRDefault="00EC4492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57F6">
        <w:rPr>
          <w:rFonts w:ascii="Times New Roman" w:hAnsi="Times New Roman"/>
          <w:sz w:val="24"/>
          <w:szCs w:val="24"/>
          <w:lang w:eastAsia="pl-PL"/>
        </w:rPr>
        <w:t>ZP.271.1.22</w:t>
      </w:r>
      <w:r w:rsidR="00844B86" w:rsidRPr="00FF57F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FF57F6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 w:rsidRPr="00FF57F6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FC772E" w:rsidRPr="00FF57F6">
        <w:rPr>
          <w:rFonts w:ascii="Times New Roman" w:hAnsi="Times New Roman"/>
          <w:sz w:val="24"/>
          <w:szCs w:val="24"/>
          <w:lang w:eastAsia="pl-PL"/>
        </w:rPr>
        <w:t xml:space="preserve"> Końskie, dn. 16.10</w:t>
      </w:r>
      <w:r w:rsidR="008F12AD" w:rsidRPr="00FF57F6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FF57F6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F57F6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FF57F6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F57F6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F12AD" w:rsidRPr="00FF57F6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FF57F6" w:rsidRDefault="008F12AD" w:rsidP="00EC4492">
      <w:pPr>
        <w:pStyle w:val="Tytu2"/>
        <w:rPr>
          <w:rFonts w:ascii="Times New Roman" w:hAnsi="Times New Roman"/>
          <w:sz w:val="24"/>
        </w:rPr>
      </w:pPr>
      <w:r w:rsidRPr="00FF57F6">
        <w:rPr>
          <w:rFonts w:ascii="Times New Roman" w:hAnsi="Times New Roman"/>
          <w:sz w:val="24"/>
        </w:rPr>
        <w:t xml:space="preserve">Dotyczy postępowania o udzielenie zamówienia publicznego na: </w:t>
      </w:r>
      <w:r w:rsidR="00EC4492" w:rsidRPr="00FF57F6">
        <w:rPr>
          <w:rFonts w:ascii="Times New Roman" w:hAnsi="Times New Roman"/>
          <w:sz w:val="24"/>
        </w:rPr>
        <w:t xml:space="preserve">Rewitalizacja rynku </w:t>
      </w:r>
      <w:r w:rsidR="00EC4492" w:rsidRPr="00FF57F6">
        <w:rPr>
          <w:rFonts w:ascii="Times New Roman" w:hAnsi="Times New Roman"/>
          <w:sz w:val="24"/>
        </w:rPr>
        <w:br/>
        <w:t>w Końskich</w:t>
      </w:r>
    </w:p>
    <w:p w:rsidR="008F12AD" w:rsidRPr="00FF57F6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FF57F6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F57F6" w:rsidRDefault="008F12AD" w:rsidP="00E46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</w:t>
      </w:r>
      <w:r w:rsidR="00B33E21" w:rsidRPr="00FF57F6">
        <w:rPr>
          <w:rFonts w:ascii="Times New Roman" w:hAnsi="Times New Roman"/>
          <w:sz w:val="24"/>
          <w:szCs w:val="24"/>
        </w:rPr>
        <w:t>i  pytaniami</w:t>
      </w:r>
      <w:r w:rsidRPr="00FF57F6">
        <w:rPr>
          <w:rFonts w:ascii="Times New Roman" w:hAnsi="Times New Roman"/>
          <w:sz w:val="24"/>
          <w:szCs w:val="24"/>
        </w:rPr>
        <w:t>:</w:t>
      </w:r>
    </w:p>
    <w:p w:rsidR="008F12AD" w:rsidRPr="00FF57F6" w:rsidRDefault="008F12AD" w:rsidP="00E4699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09B9" w:rsidRPr="00FF57F6" w:rsidRDefault="00694E95" w:rsidP="000425CA">
      <w:pPr>
        <w:pStyle w:val="NormalnyWeb"/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FF57F6">
        <w:t xml:space="preserve">Zgodnie z "Opis techniczny rynek pw.pdf" (str. 6) i przedmiarem (poz. 15 d.1.1.3) - </w:t>
      </w:r>
      <w:r w:rsidRPr="00FF57F6">
        <w:rPr>
          <w:iCs/>
        </w:rPr>
        <w:t xml:space="preserve">wokół rynku przewidziano siedziska kamienne – „tapczany kamienne”- z bloków granitowych koloru szarego o wymiarach 115x0,5x0,45 </w:t>
      </w:r>
      <w:r w:rsidRPr="00FF57F6">
        <w:t>(czyli dł. 115 cm x szer. 5 cm x wys. 4 cm?)</w:t>
      </w:r>
      <w:r w:rsidRPr="00FF57F6">
        <w:rPr>
          <w:iCs/>
        </w:rPr>
        <w:t xml:space="preserve">. Ilość bloków granitowych 56 szt. prostokątne, 4szt. narożne. </w:t>
      </w:r>
      <w:r w:rsidRPr="00FF57F6">
        <w:t>Według rysunku 1607_PW_A1_101 i 1607_PW_A5-100 zaprojektowano kamienne tapczany o wymiarach 115x50x42 i 65x50x42 w ilości 42 szt.</w:t>
      </w:r>
      <w:r w:rsidRPr="00FF57F6">
        <w:rPr>
          <w:b/>
          <w:bCs/>
        </w:rPr>
        <w:t xml:space="preserve"> </w:t>
      </w:r>
      <w:r w:rsidRPr="00FF57F6">
        <w:t>Prosimy o podanie wymaganych wymiarów i ilości kamiennych tapczanów.  </w:t>
      </w:r>
    </w:p>
    <w:p w:rsidR="000709B9" w:rsidRPr="00FF57F6" w:rsidRDefault="00694E95" w:rsidP="00047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 xml:space="preserve"> </w:t>
      </w:r>
      <w:r w:rsidR="000709B9" w:rsidRPr="00FF57F6">
        <w:rPr>
          <w:rFonts w:ascii="Times New Roman" w:hAnsi="Times New Roman"/>
          <w:b/>
          <w:sz w:val="24"/>
          <w:szCs w:val="24"/>
        </w:rPr>
        <w:t>Odpowiedź:</w:t>
      </w:r>
      <w:r w:rsidR="000709B9" w:rsidRPr="00FF57F6">
        <w:rPr>
          <w:rFonts w:ascii="Times New Roman" w:hAnsi="Times New Roman"/>
          <w:sz w:val="24"/>
          <w:szCs w:val="24"/>
        </w:rPr>
        <w:t xml:space="preserve">  Należy przyjąć: „tapczany kamienne” należy wykonać zgodnie z rys. 1607_PW_A5-100 tj. 115x50x42 [cm] na podkładce gumowej gr. 3cm co daje wymiar globalny – 115x50x45[cm] (1,15x0,5x0,45)[m]. </w:t>
      </w:r>
    </w:p>
    <w:p w:rsidR="000709B9" w:rsidRPr="00FF57F6" w:rsidRDefault="000709B9" w:rsidP="00047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Ilość „tapczanów kamiennych” 60szt. przy czym 56szt. prostokątnych i 4szt. narożnych zgodnie z rys. nr 1607_PW_A5-100 </w:t>
      </w:r>
    </w:p>
    <w:p w:rsidR="00694E95" w:rsidRPr="00FF57F6" w:rsidRDefault="000709B9" w:rsidP="00042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>Wg rysunku   1607_PW_A1-101 łączna ilość „tapczanów kamiennych” wynosi 60szt po 15 szt. na każdą ćwiartkę w tym 56szt. prostokątnych i 4szt. narożne – nie ma rozbieżności pomiędzy przedmiarem i rysunkiem.</w:t>
      </w:r>
    </w:p>
    <w:p w:rsidR="00694E95" w:rsidRPr="00FF57F6" w:rsidRDefault="00694E95" w:rsidP="00FF57F6">
      <w:pPr>
        <w:pStyle w:val="NormalnyWeb"/>
        <w:numPr>
          <w:ilvl w:val="0"/>
          <w:numId w:val="34"/>
        </w:numPr>
        <w:tabs>
          <w:tab w:val="left" w:pos="426"/>
        </w:tabs>
        <w:ind w:left="0" w:firstLine="0"/>
        <w:jc w:val="both"/>
      </w:pPr>
      <w:r w:rsidRPr="00FF57F6">
        <w:t>Prosimy o podanie jaki wymiar obrzeży należy przyjąć do wyceny. W opisie technicznym i przedmiarze podane są obrzeża kamienne o wymia</w:t>
      </w:r>
      <w:r w:rsidR="00FF57F6" w:rsidRPr="00FF57F6">
        <w:t xml:space="preserve">rach 8x30x100, natomiast </w:t>
      </w:r>
      <w:r w:rsidR="00EF5EE5">
        <w:br/>
      </w:r>
      <w:r w:rsidR="00FF57F6" w:rsidRPr="00FF57F6">
        <w:t>w rys.</w:t>
      </w:r>
      <w:r w:rsidRPr="00FF57F6">
        <w:t xml:space="preserve">1607_PW_A1_101 podane jest obrzeże (opornik) granitowe </w:t>
      </w:r>
      <w:r w:rsidR="00047342" w:rsidRPr="00FF57F6">
        <w:br/>
      </w:r>
      <w:r w:rsidRPr="00FF57F6">
        <w:t xml:space="preserve">o wymiarach 8x25x100 i krawężnik o wymiarach 14x30x100. </w:t>
      </w:r>
    </w:p>
    <w:p w:rsidR="000709B9" w:rsidRPr="00FF57F6" w:rsidRDefault="00FC772E" w:rsidP="000425CA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>Odpowiedź:</w:t>
      </w:r>
      <w:r w:rsidR="000709B9" w:rsidRPr="00FF57F6">
        <w:rPr>
          <w:rFonts w:ascii="Times New Roman" w:hAnsi="Times New Roman"/>
          <w:sz w:val="24"/>
          <w:szCs w:val="24"/>
        </w:rPr>
        <w:t xml:space="preserve"> </w:t>
      </w:r>
      <w:r w:rsidR="00FF57F6">
        <w:rPr>
          <w:rFonts w:ascii="Times New Roman" w:hAnsi="Times New Roman"/>
          <w:sz w:val="24"/>
          <w:szCs w:val="24"/>
        </w:rPr>
        <w:t>N</w:t>
      </w:r>
      <w:r w:rsidR="000709B9" w:rsidRPr="00FF57F6">
        <w:rPr>
          <w:rFonts w:ascii="Times New Roman" w:hAnsi="Times New Roman"/>
          <w:sz w:val="24"/>
          <w:szCs w:val="24"/>
        </w:rPr>
        <w:t>ależy przyjąć obrzeże o wymiarach 8x30x100 i krawężnik 15x30x100</w:t>
      </w:r>
    </w:p>
    <w:p w:rsidR="00694E95" w:rsidRPr="00FF57F6" w:rsidRDefault="00694E95" w:rsidP="00FF57F6">
      <w:pPr>
        <w:pStyle w:val="NormalnyWeb"/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FF57F6">
        <w:t xml:space="preserve">W przedmiarach podano że kostka surowo-łupana może być w formacie 8/10 lub 9/11 natomiast w zestawieniu na 1607_PW_A1_101 kostka surowo-łupana jest w formacie 10/10. Prosimy o stanowisko. </w:t>
      </w:r>
    </w:p>
    <w:p w:rsidR="000709B9" w:rsidRPr="00FF57F6" w:rsidRDefault="000709B9" w:rsidP="00FF57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 xml:space="preserve">Odpowiedź </w:t>
      </w:r>
      <w:r w:rsidR="00FC772E" w:rsidRPr="00FF57F6">
        <w:rPr>
          <w:rFonts w:ascii="Times New Roman" w:hAnsi="Times New Roman"/>
          <w:b/>
          <w:sz w:val="24"/>
          <w:szCs w:val="24"/>
        </w:rPr>
        <w:t>:</w:t>
      </w:r>
      <w:r w:rsidR="00FC772E" w:rsidRPr="00FF57F6">
        <w:rPr>
          <w:rFonts w:ascii="Times New Roman" w:hAnsi="Times New Roman"/>
          <w:sz w:val="24"/>
          <w:szCs w:val="24"/>
        </w:rPr>
        <w:t xml:space="preserve"> </w:t>
      </w:r>
      <w:r w:rsidR="00FF57F6">
        <w:rPr>
          <w:rFonts w:ascii="Times New Roman" w:hAnsi="Times New Roman"/>
          <w:sz w:val="24"/>
          <w:szCs w:val="24"/>
        </w:rPr>
        <w:t>N</w:t>
      </w:r>
      <w:r w:rsidRPr="00FF57F6">
        <w:rPr>
          <w:rFonts w:ascii="Times New Roman" w:hAnsi="Times New Roman"/>
          <w:sz w:val="24"/>
          <w:szCs w:val="24"/>
        </w:rPr>
        <w:t>ależy przyjąć długość ściany kostki surowołupanej w przedziale 8-11cm, zatem może to być wymiar . 8/10 lub 9/11 lub inny w zadanym przedziale.</w:t>
      </w:r>
    </w:p>
    <w:p w:rsidR="00694E95" w:rsidRPr="00FF57F6" w:rsidRDefault="00FF57F6" w:rsidP="00E4699E">
      <w:pPr>
        <w:pStyle w:val="NormalnyWeb"/>
        <w:jc w:val="both"/>
      </w:pPr>
      <w:r w:rsidRPr="00FF57F6">
        <w:lastRenderedPageBreak/>
        <w:t>4</w:t>
      </w:r>
      <w:r w:rsidR="00694E95" w:rsidRPr="00FF57F6">
        <w:t>. Prosimy o podanie ilości sztuk na m2 zieleni niskiej, krzewów, bylin, traw oraz podanie parametrów projektownej zieleni (wysokość, obwód, donica, etc.)</w:t>
      </w:r>
    </w:p>
    <w:p w:rsidR="00047342" w:rsidRPr="00FF57F6" w:rsidRDefault="00FF57F6" w:rsidP="00047342">
      <w:pPr>
        <w:spacing w:after="0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b/>
          <w:sz w:val="24"/>
          <w:szCs w:val="24"/>
        </w:rPr>
        <w:t>Odpowiedź</w:t>
      </w:r>
      <w:r w:rsidR="00047342" w:rsidRPr="000425CA">
        <w:rPr>
          <w:rFonts w:ascii="Times New Roman" w:hAnsi="Times New Roman"/>
          <w:b/>
          <w:sz w:val="24"/>
          <w:szCs w:val="24"/>
        </w:rPr>
        <w:t xml:space="preserve"> :</w:t>
      </w:r>
      <w:r w:rsidR="00047342" w:rsidRPr="00FF57F6">
        <w:rPr>
          <w:rFonts w:ascii="Times New Roman" w:hAnsi="Times New Roman"/>
          <w:sz w:val="24"/>
          <w:szCs w:val="24"/>
        </w:rPr>
        <w:t xml:space="preserve"> Należy przyjąć: ilości drzew i krzewów takie jak określono w przedmiarze, rozstawa sadzenia musi być odpowiednia do przyjętego gatunku. Wielkość donicy z sadzonką krzewów min. 3l, dla traw i bylin można przyjąć donicę 2l.</w:t>
      </w:r>
    </w:p>
    <w:p w:rsidR="00047342" w:rsidRDefault="00047342" w:rsidP="00047342">
      <w:pPr>
        <w:spacing w:after="0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Sadzonki drzew – wysokość min. 2,0m obwód pnia na wys. 1,3m powinien wynosić 8-12cm. </w:t>
      </w:r>
    </w:p>
    <w:p w:rsidR="000425CA" w:rsidRPr="00FF57F6" w:rsidRDefault="000425CA" w:rsidP="00047342">
      <w:pPr>
        <w:spacing w:after="0"/>
        <w:rPr>
          <w:rFonts w:ascii="Times New Roman" w:hAnsi="Times New Roman"/>
          <w:sz w:val="24"/>
          <w:szCs w:val="24"/>
        </w:rPr>
      </w:pPr>
    </w:p>
    <w:p w:rsidR="007A3927" w:rsidRPr="00FF57F6" w:rsidRDefault="00FF57F6" w:rsidP="000425C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>5</w:t>
      </w:r>
      <w:r w:rsidR="007A3927" w:rsidRPr="00FF57F6">
        <w:rPr>
          <w:rFonts w:ascii="Times New Roman" w:hAnsi="Times New Roman"/>
          <w:sz w:val="24"/>
          <w:szCs w:val="24"/>
        </w:rPr>
        <w:t>. Zwracamy się z prośbą o modyfikację zapisu w zakresie</w:t>
      </w:r>
      <w:r w:rsidR="007A3927" w:rsidRPr="00FF57F6">
        <w:rPr>
          <w:rFonts w:ascii="Times New Roman" w:hAnsi="Times New Roman"/>
          <w:b/>
          <w:sz w:val="24"/>
          <w:szCs w:val="24"/>
        </w:rPr>
        <w:t xml:space="preserve"> SIWZ pkt  8 „</w:t>
      </w:r>
      <w:r w:rsidR="007A3927" w:rsidRPr="00FF57F6">
        <w:rPr>
          <w:rFonts w:ascii="Times New Roman" w:hAnsi="Times New Roman"/>
          <w:b/>
          <w:sz w:val="24"/>
          <w:szCs w:val="24"/>
          <w:lang w:eastAsia="pl-PL"/>
        </w:rPr>
        <w:t xml:space="preserve">Warunki udziału                      w postępowaniu” </w:t>
      </w:r>
      <w:r w:rsidR="007A3927" w:rsidRPr="00FF57F6">
        <w:rPr>
          <w:rFonts w:ascii="Times New Roman" w:hAnsi="Times New Roman"/>
          <w:b/>
          <w:sz w:val="24"/>
          <w:szCs w:val="24"/>
        </w:rPr>
        <w:t xml:space="preserve">ppkt </w:t>
      </w:r>
      <w:r w:rsidR="007A3927" w:rsidRPr="00FF57F6">
        <w:rPr>
          <w:rFonts w:ascii="Times New Roman" w:hAnsi="Times New Roman"/>
          <w:b/>
          <w:sz w:val="24"/>
          <w:szCs w:val="24"/>
          <w:lang w:eastAsia="pl-PL"/>
        </w:rPr>
        <w:t>8.2.3</w:t>
      </w:r>
      <w:r w:rsidR="007A3927" w:rsidRPr="00FF57F6">
        <w:rPr>
          <w:rFonts w:ascii="Times New Roman" w:hAnsi="Times New Roman"/>
          <w:sz w:val="24"/>
          <w:szCs w:val="24"/>
          <w:lang w:eastAsia="pl-PL"/>
        </w:rPr>
        <w:t xml:space="preserve"> “zdolności  technicznej lub zawodowej” </w:t>
      </w:r>
      <w:r w:rsidR="007A3927" w:rsidRPr="00FF57F6">
        <w:rPr>
          <w:rFonts w:ascii="Times New Roman" w:hAnsi="Times New Roman"/>
          <w:sz w:val="24"/>
          <w:szCs w:val="24"/>
        </w:rPr>
        <w:t xml:space="preserve">tak aby po modyfikacji zapis brzmiał następująco: </w:t>
      </w:r>
    </w:p>
    <w:p w:rsidR="007A3927" w:rsidRPr="00FF57F6" w:rsidRDefault="007A3927" w:rsidP="000425CA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b) Zamawiający uzna ww. warunek za spełniony jeżeli wykonawca </w:t>
      </w:r>
    </w:p>
    <w:p w:rsidR="007A3927" w:rsidRPr="00FF57F6" w:rsidRDefault="007A3927" w:rsidP="000425CA">
      <w:pPr>
        <w:pStyle w:val="NormalnyWeb"/>
        <w:spacing w:before="0" w:beforeAutospacing="0" w:after="0"/>
        <w:jc w:val="both"/>
      </w:pPr>
      <w:r w:rsidRPr="00FF57F6">
        <w:rPr>
          <w:bCs/>
        </w:rPr>
        <w:t xml:space="preserve">wykaże, że wykonał w </w:t>
      </w:r>
      <w:r w:rsidRPr="00FF57F6">
        <w:t xml:space="preserve">okresie ostatnich </w:t>
      </w:r>
      <w:r w:rsidRPr="00FF57F6">
        <w:rPr>
          <w:b/>
        </w:rPr>
        <w:t>sześciu</w:t>
      </w:r>
      <w:r w:rsidRPr="00FF57F6">
        <w:t xml:space="preserve"> lat przed upływem terminu składania ofert, </w:t>
      </w:r>
      <w:r w:rsidR="00E4699E" w:rsidRPr="00FF57F6">
        <w:br/>
      </w:r>
      <w:r w:rsidRPr="00FF57F6">
        <w:t xml:space="preserve">a jeżeli okres prowadzenia działalności jest krótszy - w tym okresie wykonał zgodnie </w:t>
      </w:r>
      <w:r w:rsidR="00E4699E" w:rsidRPr="00FF57F6">
        <w:br/>
      </w:r>
      <w:r w:rsidRPr="00FF57F6">
        <w:t xml:space="preserve">z zasadami sztuki budowlanej   i prawidłowo ukończył co najmniej jedną robotę budowlaną polegającą na </w:t>
      </w:r>
      <w:r w:rsidRPr="00FF57F6">
        <w:rPr>
          <w:b/>
          <w:bCs/>
        </w:rPr>
        <w:t>budowie lub przebudowie</w:t>
      </w:r>
      <w:r w:rsidRPr="00FF57F6">
        <w:t xml:space="preserve"> rynku lub placu użyteczności publicznej </w:t>
      </w:r>
      <w:r w:rsidR="00E4699E" w:rsidRPr="00FF57F6">
        <w:br/>
      </w:r>
      <w:r w:rsidRPr="00FF57F6">
        <w:t xml:space="preserve">o </w:t>
      </w:r>
      <w:r w:rsidRPr="00FF57F6">
        <w:rPr>
          <w:b/>
          <w:bCs/>
        </w:rPr>
        <w:t>nawierzchni kamiennej</w:t>
      </w:r>
      <w:r w:rsidRPr="00FF57F6">
        <w:t xml:space="preserve"> wraz z odwodnieniem, oświetleniem  i usuwaniem kolizji </w:t>
      </w:r>
      <w:r w:rsidR="00E4699E" w:rsidRPr="00FF57F6">
        <w:br/>
      </w:r>
      <w:r w:rsidRPr="00FF57F6">
        <w:t xml:space="preserve">z sieciami podziemnymi o wartości, co najmniej 4 000 </w:t>
      </w:r>
      <w:proofErr w:type="spellStart"/>
      <w:r w:rsidRPr="00FF57F6">
        <w:t>000</w:t>
      </w:r>
      <w:proofErr w:type="spellEnd"/>
      <w:r w:rsidRPr="00FF57F6">
        <w:t xml:space="preserve"> PLN brutto…”</w:t>
      </w:r>
    </w:p>
    <w:p w:rsidR="007A3927" w:rsidRPr="00FF57F6" w:rsidRDefault="007A3927" w:rsidP="0004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Zmiana zapisów pozwoli na uczestnictwo w postępowaniu przetargowym większej liczbie firm. </w:t>
      </w:r>
    </w:p>
    <w:p w:rsidR="002A46F1" w:rsidRDefault="002A46F1" w:rsidP="0004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 xml:space="preserve">Odpowiedź: </w:t>
      </w:r>
      <w:r w:rsidRPr="00FF57F6">
        <w:rPr>
          <w:rFonts w:ascii="Times New Roman" w:hAnsi="Times New Roman"/>
          <w:sz w:val="24"/>
          <w:szCs w:val="24"/>
        </w:rPr>
        <w:t>Zamawiający podtrzymuje zapisy SIWZ</w:t>
      </w:r>
    </w:p>
    <w:p w:rsidR="000425CA" w:rsidRPr="00FF57F6" w:rsidRDefault="000425CA" w:rsidP="0004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927" w:rsidRPr="00FF57F6" w:rsidRDefault="00FF57F6" w:rsidP="00FF57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6. </w:t>
      </w:r>
      <w:r w:rsidR="007A3927" w:rsidRPr="00FF57F6">
        <w:rPr>
          <w:rFonts w:ascii="Times New Roman" w:hAnsi="Times New Roman"/>
          <w:sz w:val="24"/>
          <w:szCs w:val="24"/>
        </w:rPr>
        <w:t xml:space="preserve"> </w:t>
      </w:r>
      <w:r w:rsidR="002A46F1" w:rsidRPr="00FF57F6">
        <w:rPr>
          <w:rFonts w:ascii="Times New Roman" w:hAnsi="Times New Roman"/>
          <w:sz w:val="24"/>
          <w:szCs w:val="24"/>
        </w:rPr>
        <w:t xml:space="preserve">Prosimy o wyjaśnienie czy materiał granitowy (kostka, płyta krawężniki) mają być tożsame z materiałem który ma zastosowanie przy robotach prowadzonych w związku </w:t>
      </w:r>
      <w:r w:rsidR="00E4699E" w:rsidRPr="00FF57F6">
        <w:rPr>
          <w:rFonts w:ascii="Times New Roman" w:hAnsi="Times New Roman"/>
          <w:sz w:val="24"/>
          <w:szCs w:val="24"/>
        </w:rPr>
        <w:br/>
      </w:r>
      <w:r w:rsidR="002A46F1" w:rsidRPr="00FF57F6">
        <w:rPr>
          <w:rFonts w:ascii="Times New Roman" w:hAnsi="Times New Roman"/>
          <w:sz w:val="24"/>
          <w:szCs w:val="24"/>
        </w:rPr>
        <w:t>z przebudową ulic w centrum miasta Końskie</w:t>
      </w:r>
    </w:p>
    <w:p w:rsidR="00047342" w:rsidRPr="00FF57F6" w:rsidRDefault="00E4699E" w:rsidP="00FF57F6">
      <w:pPr>
        <w:jc w:val="both"/>
        <w:rPr>
          <w:rFonts w:ascii="Times New Roman" w:hAnsi="Times New Roman"/>
          <w:b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 xml:space="preserve">Odpowiedź: </w:t>
      </w:r>
      <w:r w:rsidRPr="00FF57F6">
        <w:rPr>
          <w:rFonts w:ascii="Times New Roman" w:hAnsi="Times New Roman"/>
          <w:sz w:val="24"/>
          <w:szCs w:val="24"/>
        </w:rPr>
        <w:t>Materiał kamienny</w:t>
      </w:r>
      <w:r w:rsidR="005D7616" w:rsidRPr="00FF57F6">
        <w:rPr>
          <w:rFonts w:ascii="Times New Roman" w:hAnsi="Times New Roman"/>
          <w:sz w:val="24"/>
          <w:szCs w:val="24"/>
        </w:rPr>
        <w:t>,</w:t>
      </w:r>
      <w:r w:rsidRPr="00FF57F6">
        <w:rPr>
          <w:rFonts w:ascii="Times New Roman" w:hAnsi="Times New Roman"/>
          <w:sz w:val="24"/>
          <w:szCs w:val="24"/>
        </w:rPr>
        <w:t xml:space="preserve"> który będzie użyty przy budowie płyty rynku nie może różnić się wyglądem od tego</w:t>
      </w:r>
      <w:r w:rsidR="005D7616" w:rsidRPr="00FF57F6">
        <w:rPr>
          <w:rFonts w:ascii="Times New Roman" w:hAnsi="Times New Roman"/>
          <w:sz w:val="24"/>
          <w:szCs w:val="24"/>
        </w:rPr>
        <w:t>,</w:t>
      </w:r>
      <w:r w:rsidRPr="00FF57F6">
        <w:rPr>
          <w:rFonts w:ascii="Times New Roman" w:hAnsi="Times New Roman"/>
          <w:sz w:val="24"/>
          <w:szCs w:val="24"/>
        </w:rPr>
        <w:t xml:space="preserve"> który będzie użyty przy przebudowie ulic wokół rynku</w:t>
      </w:r>
      <w:r w:rsidR="00FF57F6" w:rsidRPr="00FF57F6">
        <w:rPr>
          <w:rFonts w:ascii="Times New Roman" w:hAnsi="Times New Roman"/>
          <w:sz w:val="24"/>
          <w:szCs w:val="24"/>
        </w:rPr>
        <w:t xml:space="preserve"> tj.</w:t>
      </w:r>
      <w:r w:rsidR="00FF57F6" w:rsidRPr="00FF57F6">
        <w:rPr>
          <w:rFonts w:ascii="Times New Roman" w:hAnsi="Times New Roman"/>
          <w:b/>
          <w:sz w:val="24"/>
          <w:szCs w:val="24"/>
        </w:rPr>
        <w:t xml:space="preserve"> </w:t>
      </w:r>
      <w:r w:rsidR="00FF57F6" w:rsidRPr="00FF57F6">
        <w:rPr>
          <w:rFonts w:ascii="Times New Roman" w:hAnsi="Times New Roman"/>
          <w:sz w:val="24"/>
          <w:szCs w:val="24"/>
        </w:rPr>
        <w:t>b</w:t>
      </w:r>
      <w:r w:rsidR="00047342" w:rsidRPr="00FF57F6">
        <w:rPr>
          <w:rFonts w:ascii="Times New Roman" w:hAnsi="Times New Roman"/>
          <w:sz w:val="24"/>
          <w:szCs w:val="24"/>
        </w:rPr>
        <w:t>yłoby dobrze gdyby materiały przyjęte do realizacji rynku były tożsame z materiałami przyjętymi do realizacji przebudowy ulic.</w:t>
      </w:r>
      <w:r w:rsidR="00FC772E" w:rsidRPr="00FF57F6">
        <w:rPr>
          <w:rFonts w:ascii="Times New Roman" w:hAnsi="Times New Roman"/>
          <w:sz w:val="24"/>
          <w:szCs w:val="24"/>
        </w:rPr>
        <w:t xml:space="preserve"> M</w:t>
      </w:r>
      <w:r w:rsidR="00047342" w:rsidRPr="00FF57F6">
        <w:rPr>
          <w:rFonts w:ascii="Times New Roman" w:hAnsi="Times New Roman"/>
          <w:sz w:val="24"/>
          <w:szCs w:val="24"/>
        </w:rPr>
        <w:t>ateriały przed wbudowanie</w:t>
      </w:r>
      <w:r w:rsidR="00FC772E" w:rsidRPr="00FF57F6">
        <w:rPr>
          <w:rFonts w:ascii="Times New Roman" w:hAnsi="Times New Roman"/>
          <w:sz w:val="24"/>
          <w:szCs w:val="24"/>
        </w:rPr>
        <w:t>m</w:t>
      </w:r>
      <w:r w:rsidR="00047342" w:rsidRPr="00FF57F6">
        <w:rPr>
          <w:rFonts w:ascii="Times New Roman" w:hAnsi="Times New Roman"/>
          <w:sz w:val="24"/>
          <w:szCs w:val="24"/>
        </w:rPr>
        <w:t xml:space="preserve"> wymagają akceptacji.</w:t>
      </w:r>
    </w:p>
    <w:p w:rsidR="002A46F1" w:rsidRPr="00FF57F6" w:rsidRDefault="00FF57F6" w:rsidP="00FF57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 xml:space="preserve">7. </w:t>
      </w:r>
      <w:r w:rsidR="002A46F1" w:rsidRPr="00FF57F6">
        <w:rPr>
          <w:rFonts w:ascii="Times New Roman" w:hAnsi="Times New Roman"/>
          <w:sz w:val="24"/>
          <w:szCs w:val="24"/>
        </w:rPr>
        <w:t>Prosimy o wyjaśnienie czy materiał kamienny (granit) przewidziany w projekcie do zabudowy może być pochodzenia np. chińskiego</w:t>
      </w:r>
    </w:p>
    <w:p w:rsidR="00E4699E" w:rsidRPr="00FF57F6" w:rsidRDefault="00E4699E" w:rsidP="000425CA">
      <w:pPr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t xml:space="preserve">Odpowiedź: </w:t>
      </w:r>
      <w:r w:rsidRPr="00FF57F6">
        <w:rPr>
          <w:rFonts w:ascii="Times New Roman" w:hAnsi="Times New Roman"/>
          <w:sz w:val="24"/>
          <w:szCs w:val="24"/>
        </w:rPr>
        <w:t>Nie dopuszczamy użycia materiału chińskiego.</w:t>
      </w:r>
      <w:r w:rsidR="00FC772E" w:rsidRPr="00FF57F6">
        <w:rPr>
          <w:rFonts w:ascii="Times New Roman" w:hAnsi="Times New Roman"/>
          <w:sz w:val="24"/>
          <w:szCs w:val="24"/>
        </w:rPr>
        <w:t xml:space="preserve"> N</w:t>
      </w:r>
      <w:r w:rsidR="00047342" w:rsidRPr="00FF57F6">
        <w:rPr>
          <w:rFonts w:ascii="Times New Roman" w:hAnsi="Times New Roman"/>
          <w:sz w:val="24"/>
          <w:szCs w:val="24"/>
        </w:rPr>
        <w:t>ależy wbudować materiał rodzimy</w:t>
      </w:r>
    </w:p>
    <w:p w:rsidR="002A46F1" w:rsidRPr="00FF57F6" w:rsidRDefault="00FF57F6" w:rsidP="00042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sz w:val="24"/>
          <w:szCs w:val="24"/>
        </w:rPr>
        <w:t>8.</w:t>
      </w:r>
      <w:r w:rsidR="000425CA">
        <w:rPr>
          <w:rFonts w:ascii="Times New Roman" w:hAnsi="Times New Roman"/>
          <w:sz w:val="24"/>
          <w:szCs w:val="24"/>
        </w:rPr>
        <w:t xml:space="preserve"> </w:t>
      </w:r>
      <w:r w:rsidR="002A46F1" w:rsidRPr="00FF57F6">
        <w:rPr>
          <w:rFonts w:ascii="Times New Roman" w:hAnsi="Times New Roman"/>
          <w:sz w:val="24"/>
          <w:szCs w:val="24"/>
        </w:rPr>
        <w:t xml:space="preserve">Prosimy o określenie czy Organizacja Ruchu Tymczasowego w trakcie prowadzenia </w:t>
      </w:r>
      <w:proofErr w:type="spellStart"/>
      <w:r w:rsidR="002A46F1" w:rsidRPr="00FF57F6">
        <w:rPr>
          <w:rFonts w:ascii="Times New Roman" w:hAnsi="Times New Roman"/>
          <w:sz w:val="24"/>
          <w:szCs w:val="24"/>
        </w:rPr>
        <w:t>robót</w:t>
      </w:r>
      <w:proofErr w:type="spellEnd"/>
      <w:r w:rsidR="002A46F1" w:rsidRPr="00FF57F6">
        <w:rPr>
          <w:rFonts w:ascii="Times New Roman" w:hAnsi="Times New Roman"/>
          <w:sz w:val="24"/>
          <w:szCs w:val="24"/>
        </w:rPr>
        <w:t xml:space="preserve"> przy rewitalizacji rynku będzie w jakikolwiek powiązana z zadaniem prowadzonym </w:t>
      </w:r>
      <w:r w:rsidR="000425CA">
        <w:rPr>
          <w:rFonts w:ascii="Times New Roman" w:hAnsi="Times New Roman"/>
          <w:sz w:val="24"/>
          <w:szCs w:val="24"/>
        </w:rPr>
        <w:br/>
      </w:r>
      <w:r w:rsidR="002A46F1" w:rsidRPr="00FF57F6">
        <w:rPr>
          <w:rFonts w:ascii="Times New Roman" w:hAnsi="Times New Roman"/>
          <w:sz w:val="24"/>
          <w:szCs w:val="24"/>
        </w:rPr>
        <w:t>w związku z przebudową ulic w centrum miasta Końskie. Biorąc pod uwagę położenie rynku i przebudowy ulic w cen</w:t>
      </w:r>
      <w:r w:rsidR="004E5B64" w:rsidRPr="00FF57F6">
        <w:rPr>
          <w:rFonts w:ascii="Times New Roman" w:hAnsi="Times New Roman"/>
          <w:sz w:val="24"/>
          <w:szCs w:val="24"/>
        </w:rPr>
        <w:t xml:space="preserve">trum miasta istnieje powiązane </w:t>
      </w:r>
      <w:r w:rsidR="002A46F1" w:rsidRPr="00FF57F6">
        <w:rPr>
          <w:rFonts w:ascii="Times New Roman" w:hAnsi="Times New Roman"/>
          <w:sz w:val="24"/>
          <w:szCs w:val="24"/>
        </w:rPr>
        <w:t xml:space="preserve">związane </w:t>
      </w:r>
      <w:r w:rsidR="00326AD7" w:rsidRPr="00FF57F6">
        <w:rPr>
          <w:rFonts w:ascii="Times New Roman" w:hAnsi="Times New Roman"/>
          <w:sz w:val="24"/>
          <w:szCs w:val="24"/>
        </w:rPr>
        <w:br/>
      </w:r>
      <w:r w:rsidR="002A46F1" w:rsidRPr="00FF57F6">
        <w:rPr>
          <w:rFonts w:ascii="Times New Roman" w:hAnsi="Times New Roman"/>
          <w:sz w:val="24"/>
          <w:szCs w:val="24"/>
        </w:rPr>
        <w:t>w wjazdem na Rynek. Czy Zamawiający przewidział rozwiązanie Tymczasowej Organizacji Ruchu dla tych dwóch tematów</w:t>
      </w:r>
    </w:p>
    <w:p w:rsidR="00047342" w:rsidRPr="000425CA" w:rsidRDefault="00E4699E" w:rsidP="00E4699E">
      <w:pPr>
        <w:jc w:val="both"/>
        <w:rPr>
          <w:rFonts w:ascii="Times New Roman" w:hAnsi="Times New Roman"/>
          <w:sz w:val="24"/>
          <w:szCs w:val="24"/>
        </w:rPr>
      </w:pPr>
      <w:r w:rsidRPr="00FF57F6">
        <w:rPr>
          <w:rFonts w:ascii="Times New Roman" w:hAnsi="Times New Roman"/>
          <w:b/>
          <w:sz w:val="24"/>
          <w:szCs w:val="24"/>
        </w:rPr>
        <w:lastRenderedPageBreak/>
        <w:t>Odpowiedź</w:t>
      </w:r>
      <w:r w:rsidR="00FC772E" w:rsidRPr="00FF57F6">
        <w:rPr>
          <w:rFonts w:ascii="Times New Roman" w:hAnsi="Times New Roman"/>
          <w:b/>
          <w:sz w:val="24"/>
          <w:szCs w:val="24"/>
        </w:rPr>
        <w:t>:</w:t>
      </w:r>
      <w:r w:rsidR="00047342" w:rsidRPr="00FF57F6">
        <w:rPr>
          <w:rFonts w:ascii="Times New Roman" w:hAnsi="Times New Roman"/>
          <w:sz w:val="24"/>
          <w:szCs w:val="24"/>
        </w:rPr>
        <w:t xml:space="preserve"> Ze względu na możliwość równoległego prowadzenia inwestycji przez dwa odrębne podmioty, może zachodzić konieczność koordynacji robót i dostaw dla dwóch zadań równocześnie. Organizacja ruchu na czas prowadzenia robót leży po stronie Wykonawcy </w:t>
      </w:r>
      <w:proofErr w:type="spellStart"/>
      <w:r w:rsidR="00047342" w:rsidRPr="00FF57F6">
        <w:rPr>
          <w:rFonts w:ascii="Times New Roman" w:hAnsi="Times New Roman"/>
          <w:sz w:val="24"/>
          <w:szCs w:val="24"/>
        </w:rPr>
        <w:t>robót</w:t>
      </w:r>
      <w:proofErr w:type="spellEnd"/>
      <w:r w:rsidR="00047342" w:rsidRPr="00FF57F6">
        <w:rPr>
          <w:rFonts w:ascii="Times New Roman" w:hAnsi="Times New Roman"/>
          <w:sz w:val="24"/>
          <w:szCs w:val="24"/>
        </w:rPr>
        <w:t>.</w:t>
      </w:r>
    </w:p>
    <w:p w:rsidR="00326AD7" w:rsidRPr="00FF57F6" w:rsidRDefault="00FF57F6" w:rsidP="00326AD7">
      <w:pPr>
        <w:pStyle w:val="NormalnyWeb"/>
        <w:jc w:val="both"/>
        <w:rPr>
          <w:b/>
          <w:bCs/>
          <w:iCs/>
        </w:rPr>
      </w:pPr>
      <w:r w:rsidRPr="000425CA">
        <w:rPr>
          <w:bCs/>
          <w:iCs/>
        </w:rPr>
        <w:t xml:space="preserve">9. </w:t>
      </w:r>
      <w:r w:rsidR="00326AD7" w:rsidRPr="000425CA">
        <w:rPr>
          <w:bCs/>
          <w:iCs/>
        </w:rPr>
        <w:t>Prosimy o zamieszczenie projektu instalacji elektrycznych oraz instalacji oświetlania</w:t>
      </w:r>
      <w:r w:rsidR="00326AD7" w:rsidRPr="00FF57F6">
        <w:rPr>
          <w:b/>
          <w:bCs/>
          <w:iCs/>
        </w:rPr>
        <w:t>.</w:t>
      </w:r>
    </w:p>
    <w:p w:rsidR="00FC772E" w:rsidRPr="00FF57F6" w:rsidRDefault="00FC772E" w:rsidP="00326AD7">
      <w:pPr>
        <w:pStyle w:val="NormalnyWeb"/>
        <w:jc w:val="both"/>
        <w:rPr>
          <w:b/>
          <w:bCs/>
          <w:iCs/>
        </w:rPr>
      </w:pPr>
      <w:r w:rsidRPr="00FF57F6">
        <w:rPr>
          <w:b/>
          <w:bCs/>
          <w:iCs/>
        </w:rPr>
        <w:t>Odpowiedź</w:t>
      </w:r>
      <w:r w:rsidR="000425CA">
        <w:rPr>
          <w:b/>
          <w:bCs/>
          <w:iCs/>
        </w:rPr>
        <w:t>:</w:t>
      </w:r>
      <w:r w:rsidRPr="00FF57F6">
        <w:rPr>
          <w:b/>
          <w:bCs/>
          <w:iCs/>
        </w:rPr>
        <w:t xml:space="preserve"> </w:t>
      </w:r>
      <w:r w:rsidRPr="000425CA">
        <w:rPr>
          <w:bCs/>
          <w:iCs/>
        </w:rPr>
        <w:t>W załączeniu</w:t>
      </w:r>
    </w:p>
    <w:p w:rsidR="00326AD7" w:rsidRPr="000425CA" w:rsidRDefault="00FF57F6" w:rsidP="00326AD7">
      <w:pPr>
        <w:pStyle w:val="NormalnyWeb"/>
        <w:jc w:val="both"/>
      </w:pPr>
      <w:r w:rsidRPr="00FF57F6">
        <w:rPr>
          <w:b/>
          <w:bCs/>
          <w:iCs/>
        </w:rPr>
        <w:t xml:space="preserve">10. </w:t>
      </w:r>
      <w:r w:rsidR="00326AD7" w:rsidRPr="000425CA">
        <w:rPr>
          <w:bCs/>
          <w:iCs/>
        </w:rPr>
        <w:t xml:space="preserve">Prosimy o uzupełnienie dokumentacji odnośnie rysunków dział IV - oświetlenie </w:t>
      </w:r>
      <w:r w:rsidR="00326AD7" w:rsidRPr="000425CA">
        <w:rPr>
          <w:bCs/>
          <w:iCs/>
        </w:rPr>
        <w:br/>
        <w:t>i iluminacja: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1607-PW-A4-000 – Zasada kompozycji oświetlenia i iluminacji, schemat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1607-PW-A4-100 – Schemat poglądowy zasilania urządzeń na rynku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 xml:space="preserve">Rys. nr 1607-PW-A4-101 – Lampy posadzkowe „żabie oczka” – symbol E1, 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1607-PW-A4-103 – Lampa parkowa – symbol A1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1607-PW-A4-105 – Lampy pachołki – symbol B1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1607-PW-A4-105 b – Lampy pachołki ze stacją – symbol B2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1607-PW-A4-106 – Lampy - Iluminacja zieleni w parku – symbol C1</w:t>
      </w:r>
    </w:p>
    <w:p w:rsidR="00326AD7" w:rsidRPr="000425CA" w:rsidRDefault="00326AD7" w:rsidP="00326AD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1607-PW-A4-107 – Lampy – podświetlenie masztów – symbol D1</w:t>
      </w:r>
    </w:p>
    <w:p w:rsidR="00326AD7" w:rsidRPr="000425CA" w:rsidRDefault="00326AD7" w:rsidP="00326AD7">
      <w:pPr>
        <w:rPr>
          <w:rFonts w:ascii="Times New Roman" w:hAnsi="Times New Roman"/>
          <w:iCs/>
          <w:sz w:val="24"/>
          <w:szCs w:val="24"/>
        </w:rPr>
      </w:pPr>
      <w:r w:rsidRPr="000425CA">
        <w:rPr>
          <w:rFonts w:ascii="Times New Roman" w:hAnsi="Times New Roman"/>
          <w:iCs/>
          <w:sz w:val="24"/>
          <w:szCs w:val="24"/>
        </w:rPr>
        <w:t>Rys. nr 1607-PW-A4-108 – Lampy – oświetlenie akcentujące kształt fontanny</w:t>
      </w:r>
    </w:p>
    <w:p w:rsidR="00FC772E" w:rsidRPr="00FF57F6" w:rsidRDefault="00FC772E" w:rsidP="00326AD7">
      <w:pPr>
        <w:rPr>
          <w:rFonts w:ascii="Times New Roman" w:hAnsi="Times New Roman"/>
          <w:b/>
          <w:iCs/>
          <w:sz w:val="24"/>
          <w:szCs w:val="24"/>
        </w:rPr>
      </w:pPr>
      <w:r w:rsidRPr="00FF57F6">
        <w:rPr>
          <w:rFonts w:ascii="Times New Roman" w:hAnsi="Times New Roman"/>
          <w:b/>
          <w:iCs/>
          <w:sz w:val="24"/>
          <w:szCs w:val="24"/>
        </w:rPr>
        <w:t xml:space="preserve">Odpowiedź: </w:t>
      </w:r>
      <w:r w:rsidRPr="000425CA">
        <w:rPr>
          <w:rFonts w:ascii="Times New Roman" w:hAnsi="Times New Roman"/>
          <w:iCs/>
          <w:sz w:val="24"/>
          <w:szCs w:val="24"/>
        </w:rPr>
        <w:t>W załączeniu</w:t>
      </w:r>
    </w:p>
    <w:p w:rsidR="006B5F4C" w:rsidRPr="00FF57F6" w:rsidRDefault="00FF57F6" w:rsidP="00047342">
      <w:pPr>
        <w:pStyle w:val="NormalnyWeb"/>
        <w:jc w:val="both"/>
      </w:pPr>
      <w:r w:rsidRPr="00FF57F6">
        <w:t>11.</w:t>
      </w:r>
      <w:r w:rsidR="006B5F4C" w:rsidRPr="00FF57F6">
        <w:t xml:space="preserve"> Zwracamy się z prośbą o wyjaśnienie czy Zamawiający posiada prawa autorskie </w:t>
      </w:r>
      <w:r w:rsidR="000425CA">
        <w:br/>
      </w:r>
      <w:r w:rsidR="006B5F4C" w:rsidRPr="00FF57F6">
        <w:t xml:space="preserve">do zamieszczonej dokumentacji projektowej, w tym autorskich rozwiązań projektowych </w:t>
      </w:r>
      <w:r w:rsidR="000425CA">
        <w:br/>
      </w:r>
      <w:r w:rsidR="006B5F4C" w:rsidRPr="00FF57F6">
        <w:t xml:space="preserve">w rozumieniu ustawy z dnia 4 lutego 1994 r. o prawie autorskim i prawach pokrewnych. </w:t>
      </w:r>
    </w:p>
    <w:p w:rsidR="00D46435" w:rsidRPr="000425CA" w:rsidRDefault="00D46435" w:rsidP="00047342">
      <w:pPr>
        <w:pStyle w:val="NormalnyWeb"/>
        <w:jc w:val="both"/>
      </w:pPr>
      <w:r w:rsidRPr="00FF57F6">
        <w:rPr>
          <w:b/>
        </w:rPr>
        <w:t xml:space="preserve">Odpowiedź: </w:t>
      </w:r>
      <w:r w:rsidRPr="000425CA">
        <w:t>Zgodnie z umową Projektant przenosi na Zamawiającego autorskie prawa majątkowe</w:t>
      </w:r>
      <w:r w:rsidR="00911670" w:rsidRPr="000425CA">
        <w:t xml:space="preserve"> do dokumentacji z chwilą podpisania przez obie strony protokołu zdawczo-odbiorczego i po otrzymaniu wynagrodzenia, co nastąpi niezwłocznie po uzupełnieniu braków dokumentacji.</w:t>
      </w:r>
    </w:p>
    <w:p w:rsidR="006B5F4C" w:rsidRPr="00FF57F6" w:rsidRDefault="00FF57F6" w:rsidP="00047342">
      <w:pPr>
        <w:pStyle w:val="NormalnyWeb"/>
        <w:jc w:val="both"/>
      </w:pPr>
      <w:r w:rsidRPr="00FF57F6">
        <w:t xml:space="preserve">12. </w:t>
      </w:r>
      <w:r w:rsidR="006B5F4C" w:rsidRPr="00FF57F6">
        <w:t xml:space="preserve">Prosimy o wyjaśnienie, kto przy realizacji zadania ponosi koszty za udzielenie prawa lub licencji do wykorzystania utworzonego utworu Wykonawcy i/lub Podwykonawcom za wykonanie i dostawę autorskich rozwiązań projektowych nie będącymi typowymi </w:t>
      </w:r>
      <w:r w:rsidR="006B5F4C" w:rsidRPr="00FF57F6">
        <w:lastRenderedPageBreak/>
        <w:t>rozwiązaniami lub produktami dostępnymi na rynku, m.in. ogrodzenie, donice, słup ogłoszeniowy, studnia, etc.</w:t>
      </w:r>
    </w:p>
    <w:p w:rsidR="00911670" w:rsidRPr="000425CA" w:rsidRDefault="00911670" w:rsidP="00047342">
      <w:pPr>
        <w:pStyle w:val="NormalnyWeb"/>
        <w:jc w:val="both"/>
      </w:pPr>
      <w:r w:rsidRPr="00FF57F6">
        <w:rPr>
          <w:b/>
        </w:rPr>
        <w:t>Odpowiedź</w:t>
      </w:r>
      <w:r w:rsidR="00FC772E" w:rsidRPr="00FF57F6">
        <w:rPr>
          <w:b/>
        </w:rPr>
        <w:t xml:space="preserve">: </w:t>
      </w:r>
      <w:r w:rsidR="00FC772E" w:rsidRPr="000425CA">
        <w:t>Zgodnie z umową Projektant przenosi na Zamawiającego autorskie prawa majątkowe do dokumentacji z chwilą podpisania przez obie strony protokołu zdawczo-odbiorczego i po otrzymaniu wynagrodzenia, co nastąpi niezwłocznie po uzupełnieniu braków dokumentacji.</w:t>
      </w:r>
    </w:p>
    <w:p w:rsidR="006B5F4C" w:rsidRPr="00FF57F6" w:rsidRDefault="00FF57F6" w:rsidP="00047342">
      <w:pPr>
        <w:pStyle w:val="NormalnyWeb"/>
        <w:jc w:val="both"/>
      </w:pPr>
      <w:r w:rsidRPr="00FF57F6">
        <w:t xml:space="preserve">13. </w:t>
      </w:r>
      <w:r w:rsidR="006B5F4C" w:rsidRPr="00FF57F6">
        <w:t xml:space="preserve">Jeżeli koszty związane z udzieleniem prawa lub licencji do wykorzystania utworzonego utworu na wykonanie i dostawę autorskich rozwiązań projektowych ponosi Wykonawca i/lub Podwykonawcy, prosimy o podanie zestawienia rozwiązań projektowych stanowiących własność intelektualną twórcy/-ców wraz z kosztami udzielenia licencji za dany element. </w:t>
      </w:r>
    </w:p>
    <w:p w:rsidR="00911670" w:rsidRPr="000425CA" w:rsidRDefault="00911670" w:rsidP="00047342">
      <w:pPr>
        <w:pStyle w:val="NormalnyWeb"/>
        <w:jc w:val="both"/>
      </w:pPr>
      <w:r w:rsidRPr="00FF57F6">
        <w:rPr>
          <w:b/>
        </w:rPr>
        <w:t xml:space="preserve">Odpowiedź: </w:t>
      </w:r>
      <w:r w:rsidRPr="000425CA">
        <w:t>Wykonawcy nie ponoszą kosztów praw autorskich</w:t>
      </w:r>
    </w:p>
    <w:p w:rsidR="006B5F4C" w:rsidRPr="00FF57F6" w:rsidRDefault="00FF57F6" w:rsidP="00047342">
      <w:pPr>
        <w:pStyle w:val="NormalnyWeb"/>
        <w:jc w:val="both"/>
      </w:pPr>
      <w:r w:rsidRPr="00FF57F6">
        <w:t xml:space="preserve">14. </w:t>
      </w:r>
      <w:r w:rsidR="006B5F4C" w:rsidRPr="00FF57F6">
        <w:t xml:space="preserve">Prosimy o zamieszczenie rysunku projektowanych masztów lub przykładowej karty katalogowej. </w:t>
      </w:r>
    </w:p>
    <w:p w:rsidR="000709B9" w:rsidRPr="00FF57F6" w:rsidRDefault="000709B9" w:rsidP="006B5F4C">
      <w:pPr>
        <w:pStyle w:val="NormalnyWeb"/>
      </w:pPr>
      <w:r w:rsidRPr="000425CA">
        <w:rPr>
          <w:b/>
        </w:rPr>
        <w:t>Odpowiedź</w:t>
      </w:r>
      <w:r w:rsidR="000425CA">
        <w:t>: Z</w:t>
      </w:r>
      <w:r w:rsidR="00FF57F6" w:rsidRPr="00FF57F6">
        <w:t xml:space="preserve"> </w:t>
      </w:r>
      <w:r w:rsidRPr="00FF57F6">
        <w:t xml:space="preserve"> uwagi na dużą ilość producentów masztów oraz różnorodność oferowanych produktów Zamawiający nie załącza ani rysunku ani przykładowej karty katalogowej, należy dobrać masz zgodny z opisem technicznym </w:t>
      </w:r>
      <w:bookmarkStart w:id="0" w:name="_GoBack"/>
      <w:bookmarkEnd w:id="0"/>
    </w:p>
    <w:p w:rsidR="00AF75C7" w:rsidRPr="00FF57F6" w:rsidRDefault="00FF57F6" w:rsidP="00AF75C7">
      <w:pPr>
        <w:pStyle w:val="NormalnyWeb"/>
      </w:pPr>
      <w:r w:rsidRPr="00FF57F6">
        <w:t xml:space="preserve">15. </w:t>
      </w:r>
      <w:r w:rsidR="00AF75C7" w:rsidRPr="00FF57F6">
        <w:t xml:space="preserve">Wnioskujemy o usunięcie lub zmianę zapisu par. 1 ust. 5 wzoru umowy. Zapis sugeruje </w:t>
      </w:r>
      <w:r w:rsidR="000425CA">
        <w:br/>
      </w:r>
      <w:r w:rsidR="00AF75C7" w:rsidRPr="00FF57F6">
        <w:t>o jednostronnej interpretacji dokumentów przez Zamawiającego.</w:t>
      </w:r>
    </w:p>
    <w:p w:rsidR="00FF57F6" w:rsidRPr="00FF57F6" w:rsidRDefault="00FF57F6" w:rsidP="00AF75C7">
      <w:pPr>
        <w:pStyle w:val="NormalnyWeb"/>
      </w:pPr>
      <w:r w:rsidRPr="000425CA">
        <w:rPr>
          <w:b/>
        </w:rPr>
        <w:t>Odpowiedź:</w:t>
      </w:r>
      <w:r w:rsidRPr="00FF57F6">
        <w:t xml:space="preserve"> Zamawiający podtrzymuje zapisy SIWZ</w:t>
      </w:r>
    </w:p>
    <w:p w:rsidR="00FF57F6" w:rsidRPr="00FF57F6" w:rsidRDefault="00FF57F6" w:rsidP="00FF57F6">
      <w:pPr>
        <w:pStyle w:val="NormalnyWeb"/>
      </w:pPr>
      <w:r w:rsidRPr="00FF57F6">
        <w:t xml:space="preserve">16. </w:t>
      </w:r>
      <w:r w:rsidR="00AF75C7" w:rsidRPr="00FF57F6">
        <w:t xml:space="preserve">Wnioskujemy o zmianę zapisu par. 6 ust. 5 wzoru umowy poprzez wprowadzenie możliwości płatności częściowych do 90% wartości przedmiotu umowy. Zwiększenie tej </w:t>
      </w:r>
      <w:r w:rsidRPr="00FF57F6">
        <w:t xml:space="preserve">wartości może wpłynąć na oferowaną kwotę (m.in. mniejsza wartość kredytowania umowy) </w:t>
      </w:r>
      <w:r w:rsidR="000425CA">
        <w:br/>
      </w:r>
      <w:r w:rsidRPr="00FF57F6">
        <w:t xml:space="preserve">i będzie zgodna z zapisami par. 13 ust. 1 wzoru umowy. </w:t>
      </w:r>
    </w:p>
    <w:p w:rsidR="00FF57F6" w:rsidRPr="00FF57F6" w:rsidRDefault="00FF57F6" w:rsidP="00AF75C7">
      <w:pPr>
        <w:pStyle w:val="NormalnyWeb"/>
      </w:pPr>
      <w:r w:rsidRPr="000425CA">
        <w:rPr>
          <w:b/>
        </w:rPr>
        <w:t>Odpowiedź:</w:t>
      </w:r>
      <w:r w:rsidRPr="00FF57F6">
        <w:t xml:space="preserve"> Zamawiający podtrzymuje zapisy SIWZ</w:t>
      </w:r>
    </w:p>
    <w:p w:rsidR="00AF75C7" w:rsidRPr="00FF57F6" w:rsidRDefault="00FF57F6" w:rsidP="00AF75C7">
      <w:pPr>
        <w:pStyle w:val="NormalnyWeb"/>
      </w:pPr>
      <w:r w:rsidRPr="00FF57F6">
        <w:t xml:space="preserve">17. </w:t>
      </w:r>
      <w:r w:rsidR="00AF75C7" w:rsidRPr="00FF57F6">
        <w:t xml:space="preserve"> Wnioskujemy o usunięcie par. 15 ust. 1 pkt 3 - odstąpienie od umowy w przypadku "nakazu zajęcia majątku" Wykonawcy, w terminie 1 miesiąca, od kiedy Zamawiający powziął wiadomość o wydaniu "nakazu zapłaty" - samo wydanie nakazu zapłaty jest akurat bardzo proste do uzyskania, natomiast czym innym jest jego utrzymanie w dalszym procesie sądowym.</w:t>
      </w:r>
    </w:p>
    <w:p w:rsidR="00FF57F6" w:rsidRPr="00FF57F6" w:rsidRDefault="00FF57F6" w:rsidP="00AF75C7">
      <w:pPr>
        <w:pStyle w:val="NormalnyWeb"/>
      </w:pPr>
      <w:r w:rsidRPr="000425CA">
        <w:rPr>
          <w:b/>
        </w:rPr>
        <w:t>Odpowiedź</w:t>
      </w:r>
      <w:r w:rsidR="000425CA">
        <w:rPr>
          <w:b/>
        </w:rPr>
        <w:t>:</w:t>
      </w:r>
      <w:r w:rsidRPr="00FF57F6">
        <w:t xml:space="preserve"> Zamawiający podtrzymuje zapisy SIWZ</w:t>
      </w:r>
    </w:p>
    <w:p w:rsidR="00FF57F6" w:rsidRPr="00FF57F6" w:rsidRDefault="00FF57F6" w:rsidP="00FF57F6">
      <w:pPr>
        <w:ind w:right="-715"/>
        <w:rPr>
          <w:rFonts w:ascii="Times New Roman" w:eastAsia="Times New Roman" w:hAnsi="Times New Roman"/>
          <w:sz w:val="24"/>
          <w:szCs w:val="24"/>
        </w:rPr>
      </w:pPr>
      <w:r w:rsidRPr="00FF57F6">
        <w:rPr>
          <w:rFonts w:ascii="Times New Roman" w:eastAsia="Times New Roman" w:hAnsi="Times New Roman"/>
          <w:sz w:val="24"/>
          <w:szCs w:val="24"/>
        </w:rPr>
        <w:t xml:space="preserve">18. Z zapisów draftu umowy wynika że wykonawca  zobowiązany jest do  złożenia zabezpieczenia kontraktu w wysokości 5 % wartości brutto  w dopuszczalnej ustawą formie. </w:t>
      </w:r>
    </w:p>
    <w:p w:rsidR="00FF57F6" w:rsidRPr="00FF57F6" w:rsidRDefault="00FF57F6" w:rsidP="00FF57F6">
      <w:pPr>
        <w:ind w:right="-715"/>
        <w:rPr>
          <w:rFonts w:ascii="Times New Roman" w:eastAsia="Times New Roman" w:hAnsi="Times New Roman"/>
          <w:sz w:val="24"/>
          <w:szCs w:val="24"/>
        </w:rPr>
      </w:pPr>
      <w:r w:rsidRPr="00FF57F6">
        <w:rPr>
          <w:rFonts w:ascii="Times New Roman" w:eastAsia="Times New Roman" w:hAnsi="Times New Roman"/>
          <w:sz w:val="24"/>
          <w:szCs w:val="24"/>
        </w:rPr>
        <w:t xml:space="preserve">Prosimy o zgodę na zmniejszenie wysokości zabezpieczenia  do 2% wartości  zadania brutto </w:t>
      </w:r>
    </w:p>
    <w:p w:rsidR="00FF57F6" w:rsidRPr="00FF57F6" w:rsidRDefault="00FF57F6" w:rsidP="00FF57F6">
      <w:pPr>
        <w:ind w:right="-715"/>
        <w:rPr>
          <w:rFonts w:ascii="Times New Roman" w:eastAsia="Times New Roman" w:hAnsi="Times New Roman"/>
          <w:sz w:val="24"/>
          <w:szCs w:val="24"/>
        </w:rPr>
      </w:pPr>
      <w:r w:rsidRPr="000425CA">
        <w:rPr>
          <w:rFonts w:ascii="Times New Roman" w:eastAsia="Times New Roman" w:hAnsi="Times New Roman"/>
          <w:b/>
          <w:sz w:val="24"/>
          <w:szCs w:val="24"/>
        </w:rPr>
        <w:lastRenderedPageBreak/>
        <w:t>Odpowiedź:</w:t>
      </w:r>
      <w:r w:rsidRPr="00FF57F6">
        <w:rPr>
          <w:rFonts w:ascii="Times New Roman" w:eastAsia="Times New Roman" w:hAnsi="Times New Roman"/>
          <w:sz w:val="24"/>
          <w:szCs w:val="24"/>
        </w:rPr>
        <w:t xml:space="preserve"> Zamawiający podtrzymuje zapisy SIWZ</w:t>
      </w:r>
    </w:p>
    <w:p w:rsidR="00FF57F6" w:rsidRDefault="00FF57F6" w:rsidP="00FF57F6">
      <w:pPr>
        <w:ind w:right="-715"/>
        <w:rPr>
          <w:rFonts w:eastAsia="Times New Roman"/>
        </w:rPr>
      </w:pPr>
    </w:p>
    <w:p w:rsidR="00FF57F6" w:rsidRPr="000F4893" w:rsidRDefault="00FF57F6" w:rsidP="000425CA">
      <w:pPr>
        <w:pStyle w:val="NormalnyWeb"/>
        <w:ind w:firstLine="708"/>
        <w:jc w:val="both"/>
        <w:rPr>
          <w:rFonts w:eastAsia="Times New Roman"/>
        </w:rPr>
      </w:pPr>
      <w:r w:rsidRPr="000F4893">
        <w:t>Ponadto</w:t>
      </w:r>
      <w:r>
        <w:rPr>
          <w:b/>
        </w:rPr>
        <w:t xml:space="preserve"> </w:t>
      </w:r>
      <w:r w:rsidRPr="000F4893">
        <w:rPr>
          <w:rFonts w:eastAsia="Times New Roman"/>
        </w:rPr>
        <w:t>na podstawie art. 38 ust. 4 ustawy z dnia 29 stycznia 2004 r. Prawo zamówień publicznych (Dz. U. z 2018 r. poz. 1986 ze zm.) z przyczyn opracowywanych zmian w treści Specyfikacji Istotnych Warunków Zamówienia</w:t>
      </w:r>
      <w:r>
        <w:rPr>
          <w:rFonts w:eastAsia="Times New Roman"/>
        </w:rPr>
        <w:t xml:space="preserve"> oraz zapytań do przedmiotowego postępowania</w:t>
      </w:r>
      <w:r w:rsidRPr="000F4893">
        <w:rPr>
          <w:rFonts w:eastAsia="Times New Roman"/>
        </w:rPr>
        <w:t xml:space="preserve"> , zmienia termin składania ofert.</w:t>
      </w:r>
    </w:p>
    <w:p w:rsidR="00FF57F6" w:rsidRPr="000F4893" w:rsidRDefault="00FF57F6" w:rsidP="00FF5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4893">
        <w:rPr>
          <w:rFonts w:ascii="Times New Roman" w:eastAsia="Times New Roman" w:hAnsi="Times New Roman"/>
          <w:sz w:val="24"/>
          <w:szCs w:val="24"/>
          <w:lang w:eastAsia="pl-PL"/>
        </w:rPr>
        <w:t xml:space="preserve">Zmienia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termin składania ofert z dnia 23.10.2020</w:t>
      </w:r>
      <w:r w:rsidRPr="000F4893">
        <w:rPr>
          <w:rFonts w:ascii="Times New Roman" w:eastAsia="Times New Roman" w:hAnsi="Times New Roman"/>
          <w:sz w:val="24"/>
          <w:szCs w:val="24"/>
          <w:lang w:eastAsia="pl-PL"/>
        </w:rPr>
        <w:t xml:space="preserve"> r.  na dzień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06.11.2020</w:t>
      </w:r>
      <w:r w:rsidRPr="000F48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r. </w:t>
      </w:r>
    </w:p>
    <w:p w:rsidR="00FF57F6" w:rsidRPr="000F4893" w:rsidRDefault="00FF57F6" w:rsidP="00FF5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4893">
        <w:rPr>
          <w:rFonts w:ascii="Times New Roman" w:eastAsia="Times New Roman" w:hAnsi="Times New Roman"/>
          <w:sz w:val="24"/>
          <w:szCs w:val="24"/>
          <w:lang w:eastAsia="pl-PL"/>
        </w:rPr>
        <w:t>Zmienia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 otwarcia ofert z dnia 23.10.2020</w:t>
      </w:r>
      <w:r w:rsidRPr="000F4893">
        <w:rPr>
          <w:rFonts w:ascii="Times New Roman" w:eastAsia="Times New Roman" w:hAnsi="Times New Roman"/>
          <w:sz w:val="24"/>
          <w:szCs w:val="24"/>
          <w:lang w:eastAsia="pl-PL"/>
        </w:rPr>
        <w:t xml:space="preserve"> r.  na dzień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06.11.2020</w:t>
      </w:r>
      <w:r w:rsidRPr="000F48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r. </w:t>
      </w:r>
    </w:p>
    <w:p w:rsidR="00FF57F6" w:rsidRDefault="00FF57F6" w:rsidP="00FF57F6">
      <w:pPr>
        <w:ind w:right="-715"/>
        <w:rPr>
          <w:rFonts w:eastAsia="Times New Roman"/>
        </w:rPr>
      </w:pPr>
    </w:p>
    <w:p w:rsidR="00FF57F6" w:rsidRDefault="00FF57F6" w:rsidP="00FF57F6">
      <w:pPr>
        <w:ind w:right="-715"/>
        <w:rPr>
          <w:rFonts w:eastAsia="Times New Roman"/>
        </w:rPr>
      </w:pPr>
    </w:p>
    <w:p w:rsidR="00FF57F6" w:rsidRDefault="00FF57F6" w:rsidP="00FF57F6">
      <w:pPr>
        <w:ind w:right="-715"/>
      </w:pPr>
      <w:r>
        <w:rPr>
          <w:rFonts w:eastAsia="Times New Roman"/>
          <w:color w:val="0000FF"/>
        </w:rPr>
        <w:br/>
      </w:r>
      <w:r>
        <w:rPr>
          <w:rFonts w:eastAsia="Times New Roman"/>
          <w:color w:val="0000FF"/>
        </w:rPr>
        <w:br/>
      </w:r>
    </w:p>
    <w:p w:rsidR="00FF57F6" w:rsidRPr="00AF75C7" w:rsidRDefault="00FF57F6" w:rsidP="00AF75C7">
      <w:pPr>
        <w:pStyle w:val="NormalnyWeb"/>
        <w:rPr>
          <w:color w:val="943634" w:themeColor="accent2" w:themeShade="BF"/>
        </w:rPr>
      </w:pPr>
    </w:p>
    <w:p w:rsidR="00480BFF" w:rsidRPr="00E4699E" w:rsidRDefault="00480BFF" w:rsidP="008D0E0F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E4699E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C9" w:rsidRDefault="00D024C9" w:rsidP="00844B86">
      <w:pPr>
        <w:spacing w:after="0" w:line="240" w:lineRule="auto"/>
      </w:pPr>
      <w:r>
        <w:separator/>
      </w:r>
    </w:p>
  </w:endnote>
  <w:endnote w:type="continuationSeparator" w:id="0">
    <w:p w:rsidR="00D024C9" w:rsidRDefault="00D024C9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C9" w:rsidRDefault="00D024C9" w:rsidP="00844B86">
      <w:pPr>
        <w:spacing w:after="0" w:line="240" w:lineRule="auto"/>
      </w:pPr>
      <w:r>
        <w:separator/>
      </w:r>
    </w:p>
  </w:footnote>
  <w:footnote w:type="continuationSeparator" w:id="0">
    <w:p w:rsidR="00D024C9" w:rsidRDefault="00D024C9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ED74FB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ED74FB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ED74FB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6FBF3B31"/>
    <w:multiLevelType w:val="hybridMultilevel"/>
    <w:tmpl w:val="C112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E506EF"/>
    <w:multiLevelType w:val="hybridMultilevel"/>
    <w:tmpl w:val="A3D0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11"/>
  </w:num>
  <w:num w:numId="5">
    <w:abstractNumId w:val="32"/>
  </w:num>
  <w:num w:numId="6">
    <w:abstractNumId w:val="25"/>
  </w:num>
  <w:num w:numId="7">
    <w:abstractNumId w:val="0"/>
  </w:num>
  <w:num w:numId="8">
    <w:abstractNumId w:val="33"/>
  </w:num>
  <w:num w:numId="9">
    <w:abstractNumId w:val="12"/>
  </w:num>
  <w:num w:numId="10">
    <w:abstractNumId w:val="29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31"/>
  </w:num>
  <w:num w:numId="16">
    <w:abstractNumId w:val="7"/>
  </w:num>
  <w:num w:numId="17">
    <w:abstractNumId w:val="19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8"/>
  </w:num>
  <w:num w:numId="28">
    <w:abstractNumId w:val="23"/>
  </w:num>
  <w:num w:numId="29">
    <w:abstractNumId w:val="15"/>
  </w:num>
  <w:num w:numId="30">
    <w:abstractNumId w:val="14"/>
  </w:num>
  <w:num w:numId="31">
    <w:abstractNumId w:val="30"/>
  </w:num>
  <w:num w:numId="32">
    <w:abstractNumId w:val="5"/>
  </w:num>
  <w:num w:numId="33">
    <w:abstractNumId w:val="2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25CA"/>
    <w:rsid w:val="00045521"/>
    <w:rsid w:val="00047342"/>
    <w:rsid w:val="00047969"/>
    <w:rsid w:val="00064EA5"/>
    <w:rsid w:val="000709B9"/>
    <w:rsid w:val="0007648D"/>
    <w:rsid w:val="00081BC1"/>
    <w:rsid w:val="00084166"/>
    <w:rsid w:val="00095A57"/>
    <w:rsid w:val="000A3021"/>
    <w:rsid w:val="000B6F8B"/>
    <w:rsid w:val="000C004E"/>
    <w:rsid w:val="000C7731"/>
    <w:rsid w:val="000D66FC"/>
    <w:rsid w:val="00115951"/>
    <w:rsid w:val="0013129F"/>
    <w:rsid w:val="00135EBD"/>
    <w:rsid w:val="0013719B"/>
    <w:rsid w:val="00151D14"/>
    <w:rsid w:val="0017177D"/>
    <w:rsid w:val="001819E0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4E21"/>
    <w:rsid w:val="00255C3B"/>
    <w:rsid w:val="0026676F"/>
    <w:rsid w:val="00270958"/>
    <w:rsid w:val="002A2FCB"/>
    <w:rsid w:val="002A46F1"/>
    <w:rsid w:val="002C0E14"/>
    <w:rsid w:val="002E0F3A"/>
    <w:rsid w:val="003021E1"/>
    <w:rsid w:val="003131E8"/>
    <w:rsid w:val="00315AFE"/>
    <w:rsid w:val="00320245"/>
    <w:rsid w:val="00321CF0"/>
    <w:rsid w:val="00326AD7"/>
    <w:rsid w:val="00341A83"/>
    <w:rsid w:val="00370BB6"/>
    <w:rsid w:val="00373408"/>
    <w:rsid w:val="00376EBB"/>
    <w:rsid w:val="003B43AC"/>
    <w:rsid w:val="003B7216"/>
    <w:rsid w:val="003C320A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87450"/>
    <w:rsid w:val="00493E32"/>
    <w:rsid w:val="004A0AC7"/>
    <w:rsid w:val="004E3A94"/>
    <w:rsid w:val="004E5B64"/>
    <w:rsid w:val="004E730B"/>
    <w:rsid w:val="004E798B"/>
    <w:rsid w:val="00503ACF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232E"/>
    <w:rsid w:val="005D249E"/>
    <w:rsid w:val="005D4105"/>
    <w:rsid w:val="005D7616"/>
    <w:rsid w:val="005F3480"/>
    <w:rsid w:val="00606EAE"/>
    <w:rsid w:val="006108FC"/>
    <w:rsid w:val="00614DDD"/>
    <w:rsid w:val="00621BAF"/>
    <w:rsid w:val="00622F53"/>
    <w:rsid w:val="00644913"/>
    <w:rsid w:val="00646F82"/>
    <w:rsid w:val="00647186"/>
    <w:rsid w:val="006572ED"/>
    <w:rsid w:val="006612B6"/>
    <w:rsid w:val="00671786"/>
    <w:rsid w:val="00671840"/>
    <w:rsid w:val="00676419"/>
    <w:rsid w:val="00682A31"/>
    <w:rsid w:val="00694E95"/>
    <w:rsid w:val="006B5F4C"/>
    <w:rsid w:val="006C135C"/>
    <w:rsid w:val="006C5177"/>
    <w:rsid w:val="006D092F"/>
    <w:rsid w:val="006D6650"/>
    <w:rsid w:val="006E454A"/>
    <w:rsid w:val="00701197"/>
    <w:rsid w:val="007014A7"/>
    <w:rsid w:val="007236B0"/>
    <w:rsid w:val="00723B19"/>
    <w:rsid w:val="00736945"/>
    <w:rsid w:val="00746A2E"/>
    <w:rsid w:val="0076106E"/>
    <w:rsid w:val="007840B3"/>
    <w:rsid w:val="007A3927"/>
    <w:rsid w:val="007C6155"/>
    <w:rsid w:val="007D45E9"/>
    <w:rsid w:val="007D4D51"/>
    <w:rsid w:val="0081114E"/>
    <w:rsid w:val="00817285"/>
    <w:rsid w:val="008215B9"/>
    <w:rsid w:val="00823282"/>
    <w:rsid w:val="00824172"/>
    <w:rsid w:val="00844B86"/>
    <w:rsid w:val="008526A0"/>
    <w:rsid w:val="00870636"/>
    <w:rsid w:val="00876567"/>
    <w:rsid w:val="00876ED0"/>
    <w:rsid w:val="00896296"/>
    <w:rsid w:val="008A52E2"/>
    <w:rsid w:val="008A6C2E"/>
    <w:rsid w:val="008B28D9"/>
    <w:rsid w:val="008C053F"/>
    <w:rsid w:val="008C2E0B"/>
    <w:rsid w:val="008D0E0F"/>
    <w:rsid w:val="008D1208"/>
    <w:rsid w:val="008E3298"/>
    <w:rsid w:val="008F12AD"/>
    <w:rsid w:val="0090168F"/>
    <w:rsid w:val="00911670"/>
    <w:rsid w:val="00912BD8"/>
    <w:rsid w:val="009201AF"/>
    <w:rsid w:val="009217C6"/>
    <w:rsid w:val="009278A9"/>
    <w:rsid w:val="00933BE6"/>
    <w:rsid w:val="009401F8"/>
    <w:rsid w:val="009402C8"/>
    <w:rsid w:val="009564CB"/>
    <w:rsid w:val="00957BCC"/>
    <w:rsid w:val="009818FB"/>
    <w:rsid w:val="00982882"/>
    <w:rsid w:val="009A61E7"/>
    <w:rsid w:val="009E16A3"/>
    <w:rsid w:val="009E411A"/>
    <w:rsid w:val="009F2617"/>
    <w:rsid w:val="009F3202"/>
    <w:rsid w:val="00A122D3"/>
    <w:rsid w:val="00A13D1C"/>
    <w:rsid w:val="00A26AC0"/>
    <w:rsid w:val="00A30DB4"/>
    <w:rsid w:val="00A361F1"/>
    <w:rsid w:val="00A40425"/>
    <w:rsid w:val="00A60582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F6219"/>
    <w:rsid w:val="00AF6C43"/>
    <w:rsid w:val="00AF75C7"/>
    <w:rsid w:val="00B03370"/>
    <w:rsid w:val="00B073BA"/>
    <w:rsid w:val="00B10C26"/>
    <w:rsid w:val="00B15D99"/>
    <w:rsid w:val="00B16B4E"/>
    <w:rsid w:val="00B20BEF"/>
    <w:rsid w:val="00B33CDD"/>
    <w:rsid w:val="00B33E21"/>
    <w:rsid w:val="00B42417"/>
    <w:rsid w:val="00B42D7A"/>
    <w:rsid w:val="00B51528"/>
    <w:rsid w:val="00B62E6D"/>
    <w:rsid w:val="00B818A8"/>
    <w:rsid w:val="00B841B6"/>
    <w:rsid w:val="00B84FD9"/>
    <w:rsid w:val="00BA2A21"/>
    <w:rsid w:val="00BC085D"/>
    <w:rsid w:val="00BC15B0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C2367"/>
    <w:rsid w:val="00CF24B5"/>
    <w:rsid w:val="00CF402E"/>
    <w:rsid w:val="00D024C9"/>
    <w:rsid w:val="00D075AB"/>
    <w:rsid w:val="00D11274"/>
    <w:rsid w:val="00D23485"/>
    <w:rsid w:val="00D36CBA"/>
    <w:rsid w:val="00D46435"/>
    <w:rsid w:val="00D46CC0"/>
    <w:rsid w:val="00D66E07"/>
    <w:rsid w:val="00D813E1"/>
    <w:rsid w:val="00D87628"/>
    <w:rsid w:val="00DA5E55"/>
    <w:rsid w:val="00DD2234"/>
    <w:rsid w:val="00DD6900"/>
    <w:rsid w:val="00DD73A2"/>
    <w:rsid w:val="00DE76E2"/>
    <w:rsid w:val="00DF0E23"/>
    <w:rsid w:val="00DF4D9D"/>
    <w:rsid w:val="00E0016B"/>
    <w:rsid w:val="00E05DC4"/>
    <w:rsid w:val="00E457AD"/>
    <w:rsid w:val="00E4699E"/>
    <w:rsid w:val="00E55091"/>
    <w:rsid w:val="00E77B8F"/>
    <w:rsid w:val="00E85348"/>
    <w:rsid w:val="00E929DE"/>
    <w:rsid w:val="00EA7E9A"/>
    <w:rsid w:val="00EB36AB"/>
    <w:rsid w:val="00EB6D9F"/>
    <w:rsid w:val="00EB731D"/>
    <w:rsid w:val="00EC4492"/>
    <w:rsid w:val="00ED5AFB"/>
    <w:rsid w:val="00ED74FB"/>
    <w:rsid w:val="00ED7CA9"/>
    <w:rsid w:val="00EE691C"/>
    <w:rsid w:val="00EF5EE5"/>
    <w:rsid w:val="00F00095"/>
    <w:rsid w:val="00F03E3A"/>
    <w:rsid w:val="00F06CC2"/>
    <w:rsid w:val="00F17DC3"/>
    <w:rsid w:val="00F20D13"/>
    <w:rsid w:val="00F2761D"/>
    <w:rsid w:val="00F30B7C"/>
    <w:rsid w:val="00F54B69"/>
    <w:rsid w:val="00F7026F"/>
    <w:rsid w:val="00F726AD"/>
    <w:rsid w:val="00F74A61"/>
    <w:rsid w:val="00F850D7"/>
    <w:rsid w:val="00F872BA"/>
    <w:rsid w:val="00FA7DDF"/>
    <w:rsid w:val="00FC50DC"/>
    <w:rsid w:val="00FC772E"/>
    <w:rsid w:val="00FD541C"/>
    <w:rsid w:val="00FE4A27"/>
    <w:rsid w:val="00FF2B06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2">
    <w:name w:val="Normalny2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3BFA-3F11-4DE2-B4F5-F16854F7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2020-10-16T07:20:00Z</cp:lastPrinted>
  <dcterms:created xsi:type="dcterms:W3CDTF">2020-10-16T07:58:00Z</dcterms:created>
  <dcterms:modified xsi:type="dcterms:W3CDTF">2020-10-16T07:59:00Z</dcterms:modified>
</cp:coreProperties>
</file>