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B6" w:rsidRPr="00C91C54" w:rsidRDefault="00B364B6" w:rsidP="00B364B6">
      <w:pPr>
        <w:numPr>
          <w:ilvl w:val="0"/>
          <w:numId w:val="0"/>
        </w:numPr>
        <w:jc w:val="center"/>
      </w:pPr>
      <w:r>
        <w:t xml:space="preserve">TOM III IDW </w:t>
      </w:r>
    </w:p>
    <w:p w:rsidR="00B364B6" w:rsidRPr="00C91C54" w:rsidRDefault="00B364B6" w:rsidP="00B364B6">
      <w:pPr>
        <w:numPr>
          <w:ilvl w:val="0"/>
          <w:numId w:val="0"/>
        </w:numPr>
        <w:jc w:val="center"/>
      </w:pPr>
    </w:p>
    <w:p w:rsidR="00B364B6" w:rsidRPr="00C91C54" w:rsidRDefault="00B364B6" w:rsidP="00B364B6">
      <w:pPr>
        <w:numPr>
          <w:ilvl w:val="0"/>
          <w:numId w:val="0"/>
        </w:numPr>
        <w:jc w:val="center"/>
      </w:pPr>
    </w:p>
    <w:p w:rsidR="00B364B6" w:rsidRPr="00C91C54" w:rsidRDefault="00B364B6" w:rsidP="00B364B6">
      <w:pPr>
        <w:numPr>
          <w:ilvl w:val="0"/>
          <w:numId w:val="0"/>
        </w:numPr>
        <w:jc w:val="center"/>
        <w:rPr>
          <w:b/>
        </w:rPr>
      </w:pPr>
      <w:r w:rsidRPr="00C91C54">
        <w:rPr>
          <w:b/>
        </w:rPr>
        <w:t>PRZEDMIOT ZAMÓWIENIA</w:t>
      </w:r>
    </w:p>
    <w:p w:rsidR="00B364B6" w:rsidRPr="00C91C54" w:rsidRDefault="00B364B6" w:rsidP="00B364B6">
      <w:pPr>
        <w:numPr>
          <w:ilvl w:val="0"/>
          <w:numId w:val="0"/>
        </w:numPr>
      </w:pPr>
    </w:p>
    <w:p w:rsidR="00B364B6" w:rsidRPr="00C91C54" w:rsidRDefault="00B364B6" w:rsidP="00B364B6">
      <w:pPr>
        <w:numPr>
          <w:ilvl w:val="0"/>
          <w:numId w:val="0"/>
        </w:numPr>
      </w:pPr>
    </w:p>
    <w:p w:rsidR="00B364B6" w:rsidRPr="00C91C54" w:rsidRDefault="00B364B6" w:rsidP="00B364B6">
      <w:pPr>
        <w:tabs>
          <w:tab w:val="clear" w:pos="820"/>
          <w:tab w:val="num" w:pos="0"/>
        </w:tabs>
        <w:ind w:left="0" w:firstLine="0"/>
        <w:jc w:val="both"/>
        <w:rPr>
          <w:rFonts w:eastAsia="Calibri"/>
          <w:lang w:eastAsia="en-US"/>
        </w:rPr>
      </w:pPr>
      <w:r w:rsidRPr="00C91C54">
        <w:rPr>
          <w:b/>
        </w:rPr>
        <w:t xml:space="preserve">Przedmiotem Zamówienia </w:t>
      </w:r>
      <w:r w:rsidRPr="00C91C54">
        <w:rPr>
          <w:rFonts w:eastAsia="Calibri"/>
          <w:lang w:eastAsia="en-US"/>
        </w:rPr>
        <w:t xml:space="preserve">jest wykonanie </w:t>
      </w:r>
      <w:proofErr w:type="spellStart"/>
      <w:r w:rsidRPr="00C91C54">
        <w:rPr>
          <w:rFonts w:eastAsia="Calibri"/>
          <w:lang w:eastAsia="en-US"/>
        </w:rPr>
        <w:t>robót</w:t>
      </w:r>
      <w:proofErr w:type="spellEnd"/>
      <w:r w:rsidRPr="00C91C54">
        <w:rPr>
          <w:rFonts w:eastAsia="Calibri"/>
          <w:lang w:eastAsia="en-US"/>
        </w:rPr>
        <w:t xml:space="preserve"> budowlanych wraz </w:t>
      </w:r>
      <w:r>
        <w:rPr>
          <w:rFonts w:eastAsia="Calibri"/>
          <w:lang w:eastAsia="en-US"/>
        </w:rPr>
        <w:br/>
      </w:r>
      <w:r w:rsidRPr="00C91C54">
        <w:rPr>
          <w:rFonts w:eastAsia="Calibri"/>
          <w:lang w:eastAsia="en-US"/>
        </w:rPr>
        <w:t xml:space="preserve">z zagospodarowaniem terenu obejmującego </w:t>
      </w:r>
      <w:r w:rsidRPr="00C91C54">
        <w:rPr>
          <w:lang w:eastAsia="pl-PL"/>
        </w:rPr>
        <w:t xml:space="preserve">działki nr 5182/1, 5182/6, 5182/7, </w:t>
      </w:r>
      <w:r w:rsidRPr="00C91C54">
        <w:t>5188/1, 5188/2, 5183/1 w Końskich,</w:t>
      </w:r>
      <w:r w:rsidRPr="00C91C54">
        <w:rPr>
          <w:rFonts w:eastAsia="Calibri"/>
          <w:lang w:eastAsia="en-US"/>
        </w:rPr>
        <w:t xml:space="preserve"> wpisanych do rejestru zabytków pod nr </w:t>
      </w:r>
      <w:r w:rsidRPr="00C91C54">
        <w:rPr>
          <w:lang w:eastAsia="pl-PL"/>
        </w:rPr>
        <w:t xml:space="preserve">A.487/1-14. </w:t>
      </w:r>
      <w:r w:rsidRPr="00C91C54">
        <w:rPr>
          <w:rFonts w:eastAsia="Calibri"/>
          <w:lang w:eastAsia="en-US"/>
        </w:rPr>
        <w:t xml:space="preserve">W ramach budowy zostaną wykonane następujące prace: 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rozbiórka budynku gospodarczego (kategoria obiektu budowlanego III) w rejonie zaplecza pawilonu północno – zachodniego,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rozbiórka muru (kategoria obiektu budowlanego VIII) pomiędzy parkiem, a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zapleczem,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rozbiórka nawierzchni i elementów małej architektury, w tym: nawierzchni asfaltowych, z kostki i płyt betonowych, żwirowych wraz z poręczą, obrzeżami i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podbudową, ogrodzenia murowanego ze słupkami i cokołem betonowym od strony ul. Sportowej,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budowa przyłącza do sieci wodociągowej i instalacji wodociągowej (zasilanie wodotrysku), komory technicznej fontanny (wodotrysku przy mostku) oraz remoncie przyłącza kanalizacji sanitarnej altany parkowej,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budowa przyłącza do sieci kanalizacji deszczowej i instalacji kanalizacji deszczowej,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 xml:space="preserve">budowa obiektów małej architektury ogrodowej (DFA), tj. obelisk i tablica </w:t>
      </w:r>
      <w:proofErr w:type="spellStart"/>
      <w:r w:rsidRPr="00C91C54">
        <w:rPr>
          <w:rFonts w:eastAsia="Calibri"/>
          <w:lang w:eastAsia="en-US"/>
        </w:rPr>
        <w:t>egiptyzująca</w:t>
      </w:r>
      <w:proofErr w:type="spellEnd"/>
      <w:r w:rsidRPr="00C91C54">
        <w:rPr>
          <w:rFonts w:eastAsia="Calibri"/>
          <w:lang w:eastAsia="en-US"/>
        </w:rPr>
        <w:t xml:space="preserve"> (kategoria obiektu budowlanego VIII),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 xml:space="preserve">przebudowa i rozbudowa kablowej instalacji elektrycznej </w:t>
      </w:r>
      <w:r>
        <w:rPr>
          <w:rFonts w:eastAsia="Calibri"/>
          <w:lang w:eastAsia="en-US"/>
        </w:rPr>
        <w:t>N</w:t>
      </w:r>
      <w:r w:rsidRPr="00C91C54">
        <w:rPr>
          <w:rFonts w:eastAsia="Calibri"/>
          <w:lang w:eastAsia="en-US"/>
        </w:rPr>
        <w:t>N oświetlenia parku i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instalacji kablowej zasilania (WLZ) oraz rozbudowie kanalizacji teletechnicznej i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instalacji monitoringu wizyjnego parku (CCTV),</w:t>
      </w:r>
    </w:p>
    <w:p w:rsidR="00B364B6" w:rsidRPr="00C91C54" w:rsidRDefault="00B364B6" w:rsidP="00B364B6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przebudowa i rozbudowa układu komunikacyjnego parku, w tym:</w:t>
      </w:r>
    </w:p>
    <w:p w:rsidR="00B364B6" w:rsidRPr="00C91C54" w:rsidRDefault="00B364B6" w:rsidP="00B364B6">
      <w:pPr>
        <w:numPr>
          <w:ilvl w:val="0"/>
          <w:numId w:val="4"/>
        </w:numPr>
        <w:ind w:left="1134" w:hanging="425"/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przebudowa i rozbudowa parkingu (kategoria obiektu budowlanego XXII) usytuowanego w obrębie zaplecza pawilonu północno-zachodniego,</w:t>
      </w:r>
    </w:p>
    <w:p w:rsidR="00B364B6" w:rsidRPr="00C91C54" w:rsidRDefault="00B364B6" w:rsidP="00B364B6">
      <w:pPr>
        <w:numPr>
          <w:ilvl w:val="0"/>
          <w:numId w:val="4"/>
        </w:numPr>
        <w:ind w:left="1134" w:hanging="425"/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przebudowa i rozbudowa układu komunikacji pieszej i pieszo-jezdnej,</w:t>
      </w:r>
    </w:p>
    <w:p w:rsidR="00B364B6" w:rsidRPr="00C91C54" w:rsidRDefault="00B364B6" w:rsidP="00B364B6">
      <w:pPr>
        <w:numPr>
          <w:ilvl w:val="0"/>
          <w:numId w:val="4"/>
        </w:numPr>
        <w:ind w:left="1134" w:hanging="425"/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przebudowa schodów terenowych na kopcu widokowym (kategoria obiektu budowlanego VIII),</w:t>
      </w:r>
    </w:p>
    <w:p w:rsidR="00B364B6" w:rsidRPr="00C91C54" w:rsidRDefault="00B364B6" w:rsidP="00B364B6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przebudowa obiektów małej architektury parkowej (DFA) i budowli parkowej tj.: popiersia Tadeusza Kościuszki (zmiana usytuowania) – kategoria obiektu budowlanego VIII, cokołu ogrodzenia od strony ul. 1 Maja, wejścia do piwniczki pod kopcem widokowym, mostka parkowego, remoncie altany parkowej,</w:t>
      </w:r>
    </w:p>
    <w:p w:rsidR="00B364B6" w:rsidRPr="00C91C54" w:rsidRDefault="00B364B6" w:rsidP="00B364B6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wykonanie prac z zakresu konserwacji zabytków przy następujących obiektach: altana parkowa, kapliczka neogotycka, brama północna, ogrodzenie parkowe od strony ul. 1 Maja, popiersie Tadeusza Kościuszki wraz z jego przeniesieniem</w:t>
      </w:r>
    </w:p>
    <w:p w:rsidR="00B364B6" w:rsidRDefault="00B364B6" w:rsidP="00B364B6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przebudowa kopca widokowego wraz z wejściem do piwnicy pod kopcem</w:t>
      </w:r>
      <w:r>
        <w:rPr>
          <w:rFonts w:eastAsia="Calibri"/>
          <w:lang w:eastAsia="en-US"/>
        </w:rPr>
        <w:t>,</w:t>
      </w:r>
    </w:p>
    <w:p w:rsidR="00B364B6" w:rsidRPr="00D870D1" w:rsidRDefault="00B364B6" w:rsidP="00B364B6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zagospodarowanie zielenią w zakresie usunięcia drzew i krzewów (oczyszczenie terenu): ścinanie i karczowanie drzew i krzewów, usuwanie karp, ciecie sanitarne; prace agrotechniczne, nasadzenia drzew, krzewów, pnączy i bylin, wykonanie rabat i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trawników.</w:t>
      </w:r>
    </w:p>
    <w:p w:rsidR="00B364B6" w:rsidRDefault="00B364B6" w:rsidP="00B364B6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dostawa i montaż małej architektury stanowiącej wyposażenie parku: ławki z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oparciem, kosze na śmieci, tablice informacyjne, amfora na postumencie, waza na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cokole</w:t>
      </w:r>
    </w:p>
    <w:p w:rsidR="00B364B6" w:rsidRPr="007A7FF9" w:rsidRDefault="00B364B6" w:rsidP="00B364B6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lastRenderedPageBreak/>
        <w:t xml:space="preserve">dostawa i montaż dwóch trampolin na </w:t>
      </w:r>
      <w:proofErr w:type="spellStart"/>
      <w:r w:rsidRPr="00C91C54">
        <w:rPr>
          <w:rFonts w:eastAsia="Calibri"/>
          <w:lang w:eastAsia="en-US"/>
        </w:rPr>
        <w:t>teren</w:t>
      </w:r>
      <w:proofErr w:type="spellEnd"/>
      <w:r w:rsidRPr="00C91C54">
        <w:rPr>
          <w:rFonts w:eastAsia="Calibri"/>
          <w:lang w:eastAsia="en-US"/>
        </w:rPr>
        <w:t xml:space="preserve"> Ogródka Jordanowskiego zgodnie z</w:t>
      </w:r>
      <w:r>
        <w:rPr>
          <w:rFonts w:eastAsia="Calibri"/>
          <w:lang w:eastAsia="en-US"/>
        </w:rPr>
        <w:t> </w:t>
      </w:r>
      <w:r w:rsidRPr="00C91C54">
        <w:rPr>
          <w:rFonts w:eastAsia="Calibri"/>
          <w:lang w:eastAsia="en-US"/>
        </w:rPr>
        <w:t>dokumentacją pn.: „Budowa obiektów małej architektury w miejscu publicznym</w:t>
      </w:r>
      <w:r>
        <w:rPr>
          <w:rFonts w:eastAsia="Calibri"/>
          <w:lang w:eastAsia="en-US"/>
        </w:rPr>
        <w:t>…”</w:t>
      </w:r>
    </w:p>
    <w:p w:rsidR="00B364B6" w:rsidRPr="00D870D1" w:rsidRDefault="00B364B6" w:rsidP="00B364B6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D870D1">
        <w:rPr>
          <w:rFonts w:eastAsia="Calibri"/>
          <w:lang w:eastAsia="en-US"/>
        </w:rPr>
        <w:t xml:space="preserve">akres obejmuje również </w:t>
      </w:r>
      <w:proofErr w:type="spellStart"/>
      <w:r w:rsidRPr="00D870D1">
        <w:rPr>
          <w:rFonts w:eastAsia="Calibri"/>
          <w:lang w:eastAsia="en-US"/>
        </w:rPr>
        <w:t>teren</w:t>
      </w:r>
      <w:proofErr w:type="spellEnd"/>
      <w:r w:rsidRPr="00D870D1">
        <w:rPr>
          <w:rFonts w:eastAsia="Calibri"/>
          <w:lang w:eastAsia="en-US"/>
        </w:rPr>
        <w:t xml:space="preserve"> Ogródka Jordanowskiego w zakresie instalacji kamer zewnętrznych. Projektuje się dwie kamery stacjonarne </w:t>
      </w:r>
      <w:proofErr w:type="spellStart"/>
      <w:r w:rsidRPr="00D870D1">
        <w:rPr>
          <w:rFonts w:eastAsia="Calibri"/>
          <w:lang w:eastAsia="en-US"/>
        </w:rPr>
        <w:t>megapixelowe</w:t>
      </w:r>
      <w:proofErr w:type="spellEnd"/>
      <w:r w:rsidRPr="00D870D1">
        <w:rPr>
          <w:rFonts w:eastAsia="Calibri"/>
          <w:lang w:eastAsia="en-US"/>
        </w:rPr>
        <w:t xml:space="preserve"> IP z</w:t>
      </w:r>
      <w:r>
        <w:rPr>
          <w:rFonts w:eastAsia="Calibri"/>
          <w:lang w:eastAsia="en-US"/>
        </w:rPr>
        <w:t> </w:t>
      </w:r>
      <w:r w:rsidRPr="00D870D1">
        <w:rPr>
          <w:rFonts w:eastAsia="Calibri"/>
          <w:lang w:eastAsia="en-US"/>
        </w:rPr>
        <w:t xml:space="preserve">obiektywem w obudowie z grzałką. Zasilanie kamery </w:t>
      </w:r>
      <w:proofErr w:type="spellStart"/>
      <w:r w:rsidRPr="00D870D1">
        <w:rPr>
          <w:rFonts w:eastAsia="Calibri"/>
          <w:lang w:eastAsia="en-US"/>
        </w:rPr>
        <w:t>PoE</w:t>
      </w:r>
      <w:proofErr w:type="spellEnd"/>
      <w:r w:rsidRPr="00D870D1">
        <w:rPr>
          <w:rFonts w:eastAsia="Calibri"/>
          <w:lang w:eastAsia="en-US"/>
        </w:rPr>
        <w:t xml:space="preserve"> ze skrętki, zasilanie grzałki kable, YKY 3x2,5mm. Kamery zamontowane będą na słupach oświetleniowych usytuowanych wzdłuż ogrodzenia placu </w:t>
      </w:r>
      <w:proofErr w:type="spellStart"/>
      <w:r w:rsidRPr="00D870D1">
        <w:rPr>
          <w:rFonts w:eastAsia="Calibri"/>
          <w:lang w:eastAsia="en-US"/>
        </w:rPr>
        <w:t>zabaw</w:t>
      </w:r>
      <w:proofErr w:type="spellEnd"/>
      <w:r w:rsidRPr="00D870D1">
        <w:rPr>
          <w:rFonts w:eastAsia="Calibri"/>
          <w:lang w:eastAsia="en-US"/>
        </w:rPr>
        <w:t xml:space="preserve">. Ponadto projektuje się jedną kamerę szybkoobrotową zamontowaną na słupie wewnątrz placu </w:t>
      </w:r>
      <w:proofErr w:type="spellStart"/>
      <w:r w:rsidRPr="00D870D1">
        <w:rPr>
          <w:rFonts w:eastAsia="Calibri"/>
          <w:lang w:eastAsia="en-US"/>
        </w:rPr>
        <w:t>zabaw</w:t>
      </w:r>
      <w:proofErr w:type="spellEnd"/>
      <w:r w:rsidRPr="00D870D1">
        <w:rPr>
          <w:rFonts w:eastAsia="Calibri"/>
          <w:lang w:eastAsia="en-US"/>
        </w:rPr>
        <w:t xml:space="preserve"> zgodnie z planem zagospodarowania. Do każdej kamery projektuje się kabel wizyjny STP kat 6 żelowy ułożony w rurach ochronnych RHDPE 50mm. Obwód zasilania kamer wyprowadzić ze złącza ZK. Dodatkowo każda kamera w skrzynce przyłączeniowej słupa oświetleniowego będzie posiadała dodatkowe zabezpieczenie S301B6A. W celu połączenia systemu kamer z systemem kamer w mieście lub i</w:t>
      </w:r>
      <w:r>
        <w:rPr>
          <w:rFonts w:eastAsia="Calibri"/>
          <w:lang w:eastAsia="en-US"/>
        </w:rPr>
        <w:t> </w:t>
      </w:r>
      <w:r w:rsidRPr="00D870D1">
        <w:rPr>
          <w:rFonts w:eastAsia="Calibri"/>
          <w:lang w:eastAsia="en-US"/>
        </w:rPr>
        <w:t>innym systemem w ogrodzeniu działki zamontować złącze umożliwiające połączenie. W miejscach zmiany kierunku trasy kanalizacji należy wykonać studnie kanalizacji teletechnicznej SK-1. Kanalizację teletechniczną układać na głębokości 0,7m. Na całej trasie w wykopie ułożyć folię sygnalizacyjną pomarańczową z paskiem stalowym i folią ostrzegawczą pomarańczową z napisem kabel optotelekomunikacyjny.</w:t>
      </w:r>
    </w:p>
    <w:p w:rsidR="00B364B6" w:rsidRPr="00C91C54" w:rsidRDefault="00B364B6" w:rsidP="00B364B6">
      <w:pPr>
        <w:numPr>
          <w:ilvl w:val="0"/>
          <w:numId w:val="0"/>
        </w:numPr>
        <w:ind w:left="708"/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>Dob</w:t>
      </w:r>
      <w:r>
        <w:rPr>
          <w:rFonts w:eastAsia="Calibri"/>
          <w:lang w:eastAsia="en-US"/>
        </w:rPr>
        <w:t>oru</w:t>
      </w:r>
      <w:r w:rsidRPr="00C91C54">
        <w:rPr>
          <w:rFonts w:eastAsia="Calibri"/>
          <w:lang w:eastAsia="en-US"/>
        </w:rPr>
        <w:t xml:space="preserve"> wewnętrznej linii zasilającej dokonano w oparciu o normę PN-91/E-50009. Obliczenia natężenia prądu na </w:t>
      </w:r>
      <w:proofErr w:type="spellStart"/>
      <w:r w:rsidRPr="00C91C54">
        <w:rPr>
          <w:rFonts w:eastAsia="Calibri"/>
          <w:lang w:eastAsia="en-US"/>
        </w:rPr>
        <w:t>wlz</w:t>
      </w:r>
      <w:proofErr w:type="spellEnd"/>
      <w:r w:rsidRPr="00C91C54">
        <w:rPr>
          <w:rFonts w:eastAsia="Calibri"/>
          <w:lang w:eastAsia="en-US"/>
        </w:rPr>
        <w:t xml:space="preserve"> dokonano w oparciu o tabelę obciążeń przewodów i podano na schemacie instalacji elektrycznej.</w:t>
      </w:r>
    </w:p>
    <w:p w:rsidR="00B364B6" w:rsidRPr="00C91C54" w:rsidRDefault="00B364B6" w:rsidP="00B364B6">
      <w:pPr>
        <w:numPr>
          <w:ilvl w:val="0"/>
          <w:numId w:val="0"/>
        </w:numPr>
        <w:jc w:val="both"/>
        <w:rPr>
          <w:rFonts w:eastAsia="Calibri"/>
          <w:lang w:eastAsia="en-US"/>
        </w:rPr>
      </w:pPr>
      <w:r w:rsidRPr="00C91C54">
        <w:rPr>
          <w:rFonts w:eastAsia="Calibri"/>
          <w:lang w:eastAsia="en-US"/>
        </w:rPr>
        <w:t xml:space="preserve">Uwagi końcowe: Całość </w:t>
      </w:r>
      <w:proofErr w:type="spellStart"/>
      <w:r w:rsidRPr="00C91C54">
        <w:rPr>
          <w:rFonts w:eastAsia="Calibri"/>
          <w:lang w:eastAsia="en-US"/>
        </w:rPr>
        <w:t>robót</w:t>
      </w:r>
      <w:proofErr w:type="spellEnd"/>
      <w:r w:rsidRPr="00C91C54">
        <w:rPr>
          <w:rFonts w:eastAsia="Calibri"/>
          <w:lang w:eastAsia="en-US"/>
        </w:rPr>
        <w:t xml:space="preserve"> instalacyjnych</w:t>
      </w:r>
      <w:r>
        <w:rPr>
          <w:rFonts w:eastAsia="Calibri"/>
          <w:lang w:eastAsia="en-US"/>
        </w:rPr>
        <w:t xml:space="preserve"> należy</w:t>
      </w:r>
      <w:r w:rsidRPr="00C91C54">
        <w:rPr>
          <w:rFonts w:eastAsia="Calibri"/>
          <w:lang w:eastAsia="en-US"/>
        </w:rPr>
        <w:t xml:space="preserve"> wykonać zgodnie z polską normą PN/E-0509 i </w:t>
      </w:r>
      <w:proofErr w:type="spellStart"/>
      <w:r w:rsidRPr="00C91C54">
        <w:rPr>
          <w:rFonts w:eastAsia="Calibri"/>
          <w:lang w:eastAsia="en-US"/>
        </w:rPr>
        <w:t>PN-IEC</w:t>
      </w:r>
      <w:proofErr w:type="spellEnd"/>
      <w:r w:rsidRPr="00C91C54">
        <w:rPr>
          <w:rFonts w:eastAsia="Calibri"/>
          <w:lang w:eastAsia="en-US"/>
        </w:rPr>
        <w:t xml:space="preserve"> 60364</w:t>
      </w:r>
    </w:p>
    <w:p w:rsidR="00B364B6" w:rsidRPr="00C91C54" w:rsidRDefault="00B364B6" w:rsidP="00B364B6">
      <w:pPr>
        <w:numPr>
          <w:ilvl w:val="0"/>
          <w:numId w:val="0"/>
        </w:numPr>
        <w:jc w:val="both"/>
      </w:pPr>
      <w:r w:rsidRPr="00C91C54">
        <w:t>w ramach zadania inwestycyjnego pn. „</w:t>
      </w:r>
      <w:r w:rsidRPr="00C91C54">
        <w:rPr>
          <w:i/>
        </w:rPr>
        <w:t>Rewitalizacja obszarów miasta Końskie – Odnowa części terenów miasta Końskie</w:t>
      </w:r>
      <w:r w:rsidRPr="00C91C54">
        <w:t>”, na podstawie dokumentacji projektowej w tym:</w:t>
      </w:r>
    </w:p>
    <w:p w:rsidR="00B364B6" w:rsidRPr="00C91C54" w:rsidRDefault="00B364B6" w:rsidP="00B364B6">
      <w:pPr>
        <w:pStyle w:val="Nagwek1"/>
        <w:suppressAutoHyphens w:val="0"/>
        <w:ind w:left="426" w:hanging="426"/>
        <w:jc w:val="both"/>
        <w:rPr>
          <w:b w:val="0"/>
        </w:rPr>
      </w:pPr>
      <w:r w:rsidRPr="00C91C54">
        <w:t>Projektu budowlanego</w:t>
      </w:r>
      <w:r w:rsidRPr="00C91C54">
        <w:rPr>
          <w:b w:val="0"/>
        </w:rPr>
        <w:t>:</w:t>
      </w:r>
    </w:p>
    <w:p w:rsidR="00B364B6" w:rsidRPr="00C91C54" w:rsidRDefault="00B364B6" w:rsidP="00B364B6">
      <w:pPr>
        <w:numPr>
          <w:ilvl w:val="0"/>
          <w:numId w:val="0"/>
        </w:numPr>
        <w:ind w:firstLine="426"/>
        <w:jc w:val="both"/>
      </w:pPr>
      <w:r w:rsidRPr="00C91C54">
        <w:t>Tom I</w:t>
      </w:r>
      <w:r w:rsidRPr="00C91C54">
        <w:tab/>
        <w:t>Projekt zagospodarowania terenu</w:t>
      </w:r>
    </w:p>
    <w:p w:rsidR="00B364B6" w:rsidRPr="00C91C54" w:rsidRDefault="00B364B6" w:rsidP="00B364B6">
      <w:pPr>
        <w:numPr>
          <w:ilvl w:val="0"/>
          <w:numId w:val="0"/>
        </w:numPr>
        <w:ind w:left="1416" w:hanging="990"/>
        <w:jc w:val="both"/>
      </w:pPr>
      <w:r w:rsidRPr="00C91C54">
        <w:t>Tom II</w:t>
      </w:r>
      <w:r w:rsidRPr="00C91C54">
        <w:tab/>
        <w:t>Przebudowa i rozbudowa kablowej instalacji elektrycznej NN Oświetlenia parku oraz instalacji kablowej zasilania (WLZ) oraz rozbudowa kanalizacji teletechnicznej instalacji monitoringu parku (CCTV)</w:t>
      </w:r>
    </w:p>
    <w:p w:rsidR="00B364B6" w:rsidRPr="00C91C54" w:rsidRDefault="00B364B6" w:rsidP="00B364B6">
      <w:pPr>
        <w:numPr>
          <w:ilvl w:val="0"/>
          <w:numId w:val="0"/>
        </w:numPr>
        <w:ind w:left="1416" w:hanging="990"/>
        <w:jc w:val="both"/>
      </w:pPr>
      <w:r w:rsidRPr="00C91C54">
        <w:t>Tom III</w:t>
      </w:r>
      <w:r w:rsidRPr="00C91C54">
        <w:tab/>
        <w:t>Budowa przyłącza do sieci wodociągowej i instalacji wodociągowej oraz przyłącza do sieci kanalizacji deszczowej i instalacji kanalizacji deszczowej – Branża sanitarna</w:t>
      </w:r>
    </w:p>
    <w:p w:rsidR="00B364B6" w:rsidRPr="00C91C54" w:rsidRDefault="00B364B6" w:rsidP="00B364B6">
      <w:pPr>
        <w:numPr>
          <w:ilvl w:val="0"/>
          <w:numId w:val="0"/>
        </w:numPr>
        <w:ind w:left="1416" w:hanging="990"/>
        <w:jc w:val="both"/>
      </w:pPr>
      <w:r w:rsidRPr="00C91C54">
        <w:t>Tom IV</w:t>
      </w:r>
      <w:r w:rsidRPr="00C91C54">
        <w:tab/>
        <w:t>Rozbiórka budynku gospodarczego zaplecza – Branża konstrukcyjno-budowlana</w:t>
      </w:r>
    </w:p>
    <w:p w:rsidR="00B364B6" w:rsidRPr="00C91C54" w:rsidRDefault="00B364B6" w:rsidP="00B364B6">
      <w:pPr>
        <w:numPr>
          <w:ilvl w:val="0"/>
          <w:numId w:val="0"/>
        </w:numPr>
        <w:ind w:left="1416" w:hanging="990"/>
        <w:jc w:val="both"/>
      </w:pPr>
      <w:r w:rsidRPr="00C91C54">
        <w:t>Tom V</w:t>
      </w:r>
      <w:r w:rsidRPr="00C91C54">
        <w:tab/>
        <w:t>Projekt remontu altany oraz przebudowy mostka i wejścia do piwnicy pod kopcem widokowym – Branża konstrukcyjno-budowlana</w:t>
      </w:r>
    </w:p>
    <w:p w:rsidR="00B364B6" w:rsidRPr="00C91C54" w:rsidRDefault="00B364B6" w:rsidP="00B364B6">
      <w:pPr>
        <w:numPr>
          <w:ilvl w:val="0"/>
          <w:numId w:val="0"/>
        </w:numPr>
        <w:ind w:left="1416" w:hanging="990"/>
        <w:jc w:val="both"/>
      </w:pPr>
      <w:r w:rsidRPr="00C91C54">
        <w:t>Tom VI</w:t>
      </w:r>
      <w:r w:rsidRPr="00C91C54">
        <w:tab/>
        <w:t>Informacja dotycząca bezpieczeństwa i ochrony zdrowia</w:t>
      </w:r>
    </w:p>
    <w:p w:rsidR="00B364B6" w:rsidRPr="00C91C54" w:rsidRDefault="00B364B6" w:rsidP="00B364B6">
      <w:pPr>
        <w:numPr>
          <w:ilvl w:val="0"/>
          <w:numId w:val="0"/>
        </w:numPr>
        <w:ind w:left="1416" w:hanging="990"/>
        <w:jc w:val="both"/>
      </w:pPr>
      <w:r w:rsidRPr="00C91C54">
        <w:t>Tom VII</w:t>
      </w:r>
      <w:r w:rsidRPr="00C91C54">
        <w:tab/>
        <w:t>Ramowy Program Prac Konserwatorskich – Etap I (część północna) – Konserwacja zabytków</w:t>
      </w:r>
    </w:p>
    <w:p w:rsidR="00B364B6" w:rsidRPr="00C91C54" w:rsidRDefault="00B364B6" w:rsidP="00B364B6">
      <w:pPr>
        <w:numPr>
          <w:ilvl w:val="0"/>
          <w:numId w:val="0"/>
        </w:numPr>
        <w:ind w:left="1416" w:hanging="990"/>
        <w:jc w:val="both"/>
      </w:pPr>
    </w:p>
    <w:p w:rsidR="00B364B6" w:rsidRPr="00C91C54" w:rsidRDefault="00B364B6" w:rsidP="00B364B6">
      <w:pPr>
        <w:pStyle w:val="Nagwek1"/>
        <w:suppressAutoHyphens w:val="0"/>
        <w:ind w:left="426" w:hanging="426"/>
        <w:jc w:val="both"/>
        <w:rPr>
          <w:b w:val="0"/>
        </w:rPr>
      </w:pPr>
      <w:r w:rsidRPr="00C91C54">
        <w:t>Projektu wykonawczego</w:t>
      </w:r>
      <w:r w:rsidRPr="00C91C54">
        <w:rPr>
          <w:b w:val="0"/>
        </w:rPr>
        <w:t>:</w:t>
      </w:r>
    </w:p>
    <w:p w:rsidR="00B364B6" w:rsidRPr="00C91C54" w:rsidRDefault="00B364B6" w:rsidP="00B364B6">
      <w:pPr>
        <w:pStyle w:val="Nagwek1"/>
        <w:numPr>
          <w:ilvl w:val="0"/>
          <w:numId w:val="0"/>
        </w:numPr>
        <w:suppressAutoHyphens w:val="0"/>
        <w:ind w:left="426"/>
        <w:jc w:val="both"/>
        <w:rPr>
          <w:b w:val="0"/>
        </w:rPr>
      </w:pPr>
      <w:r w:rsidRPr="00C91C54">
        <w:rPr>
          <w:b w:val="0"/>
        </w:rPr>
        <w:t>Tom I</w:t>
      </w:r>
      <w:r w:rsidRPr="00C91C54">
        <w:rPr>
          <w:b w:val="0"/>
        </w:rPr>
        <w:tab/>
        <w:t>Projekt układu komunikacyjnego i DFA</w:t>
      </w:r>
    </w:p>
    <w:p w:rsidR="00B364B6" w:rsidRPr="00C91C54" w:rsidRDefault="00B364B6" w:rsidP="00B364B6">
      <w:pPr>
        <w:numPr>
          <w:ilvl w:val="0"/>
          <w:numId w:val="0"/>
        </w:numPr>
        <w:ind w:left="1418" w:hanging="992"/>
      </w:pPr>
      <w:r w:rsidRPr="00C91C54">
        <w:t>Tom II</w:t>
      </w:r>
      <w:r w:rsidRPr="00C91C54">
        <w:tab/>
        <w:t>Przebudowa i rozbudowa kablowej instalacji elektrycznej NN oświetlenia parku oraz instalacji kablowej zasilania (WLZ) oraz rozbudowa kanalizacji teletechnicznej i instalacji monitoringu wizyjnego parku (CCTV) – zeszyt 1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II</w:t>
      </w:r>
      <w:r w:rsidRPr="00C91C54">
        <w:tab/>
        <w:t xml:space="preserve">Przebudowa i rozbudowa kablowej instalacji elektrycznej NN oświetlenia parku oraz instalacji kablowych zasilania (WLZ) oraz rozbudowa kanalizacji </w:t>
      </w:r>
      <w:r w:rsidRPr="00C91C54">
        <w:lastRenderedPageBreak/>
        <w:t>teletechnicznej i instalacji monitoringu wizyjnego parku (CCTV) – symulacje natężenia oświetlenia – zeszyt 2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III</w:t>
      </w:r>
      <w:r w:rsidRPr="00C91C54">
        <w:tab/>
        <w:t>Projekt wykonawczy przyłącza i instalacji wodociągowej i kanalizacji deszczowej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IV</w:t>
      </w:r>
      <w:r w:rsidRPr="00C91C54">
        <w:tab/>
        <w:t>Projekt rozbiórki budynku gospodarczego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V</w:t>
      </w:r>
      <w:r w:rsidRPr="00C91C54">
        <w:tab/>
        <w:t>Projekt remontu altany oraz przebudowy mostka i wejścia do piwnicy pod kopcem widokowym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VI</w:t>
      </w:r>
      <w:r w:rsidRPr="00C91C54">
        <w:tab/>
        <w:t>Projekt wykonawczy zagospodarowania zielenią – zeszyt 1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VI</w:t>
      </w:r>
      <w:r w:rsidRPr="00C91C54">
        <w:tab/>
        <w:t>Projekt gospodarki drzewostanem – Etap I (część północna) – zeszyt 2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VI</w:t>
      </w:r>
      <w:r w:rsidRPr="00C91C54">
        <w:tab/>
        <w:t>Program prac konserwatorskich w drzewostanie – zeszyt 3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VI</w:t>
      </w:r>
      <w:r w:rsidRPr="00C91C54">
        <w:tab/>
        <w:t>program działań przy zabytku polegających na wycince drzew i krzewów – zeszyt 4</w:t>
      </w:r>
    </w:p>
    <w:p w:rsidR="00B364B6" w:rsidRPr="00C91C54" w:rsidRDefault="00B364B6" w:rsidP="00B364B6">
      <w:pPr>
        <w:numPr>
          <w:ilvl w:val="0"/>
          <w:numId w:val="0"/>
        </w:numPr>
        <w:tabs>
          <w:tab w:val="left" w:pos="426"/>
        </w:tabs>
        <w:ind w:left="1418" w:hanging="1418"/>
      </w:pPr>
      <w:r w:rsidRPr="00C91C54">
        <w:tab/>
        <w:t>Tom VII</w:t>
      </w:r>
      <w:r w:rsidRPr="00C91C54">
        <w:tab/>
        <w:t>Ramowy program prac konserwatorskich – etap I – (część północna)</w:t>
      </w:r>
    </w:p>
    <w:p w:rsidR="00B364B6" w:rsidRPr="00C91C54" w:rsidRDefault="00B364B6" w:rsidP="00B364B6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91C54">
        <w:t>Aneks do projektu budowlanego „Budowa obiektów małej architektury w miejscu publicznym w miejscowości wraz z budową wewnętrznej sieci elektroenergetycznej – instalacja oświetleniowa i instalacja zasilająca wraz z montażem latarni typu parkowego oraz budowa wewnętrznej sieci teletechnicznej (monitoring) zatwierdzonego decyzją starosty Koneckiego nr BP.6740.349.2016.MW z dnia 02.09.2016r.”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 xml:space="preserve">Szczegółowych specyfikacji technicznych i </w:t>
      </w:r>
      <w:proofErr w:type="spellStart"/>
      <w:r w:rsidRPr="00C91C54">
        <w:t>robót</w:t>
      </w:r>
      <w:proofErr w:type="spellEnd"/>
      <w:r w:rsidRPr="00C91C54">
        <w:t xml:space="preserve"> budowlanych,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>Przedmiarów,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>Decyzji Nr BP.6740.290.2019.MW z dnia 10.07.2019r. Starosty Koneckiego,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>Decyzji Nr 293A/2019 z dnia 08.07.2019r. Świętokrzyskiego Wojewódzkiego Konserwatora Zabytków w Kielcach,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 xml:space="preserve">Decyzji Nr 106/2019 z dnia 29.08.2019r. </w:t>
      </w:r>
      <w:bookmarkStart w:id="0" w:name="_Hlk42502113"/>
      <w:r w:rsidRPr="00C91C54">
        <w:t>Świętokrzyskiego Wojewódzkiego Konserwatora Zabytków w Kielcach,</w:t>
      </w:r>
      <w:bookmarkEnd w:id="0"/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>Decyzji Nr 104/2019 z dnia 29.08.2019r. Świętokrzyskiego Wojewódzkiego Konserwatora Zabytków w Kielcach,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>Decyzji Nr 105/2019 z dnia 29.08.2019r. Świętokrzyskiego Wojewódzkiego Konserwatora Zabytków w Kielcach,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>Decyzji Nr BP.6740.349.2016.MW z dnia 29.08.2016r. Starosty Koneckiego,</w:t>
      </w:r>
    </w:p>
    <w:p w:rsidR="00B364B6" w:rsidRPr="00C91C54" w:rsidRDefault="00B364B6" w:rsidP="00B364B6">
      <w:pPr>
        <w:numPr>
          <w:ilvl w:val="0"/>
          <w:numId w:val="2"/>
        </w:numPr>
        <w:suppressAutoHyphens w:val="0"/>
        <w:ind w:left="426" w:hanging="426"/>
        <w:jc w:val="both"/>
      </w:pPr>
      <w:r w:rsidRPr="00C91C54">
        <w:t>Decyzji Nr BP.6740.524.2016.MW z dnia 15.12.2016r. Starosty Koneckiego.</w:t>
      </w:r>
    </w:p>
    <w:p w:rsidR="00B364B6" w:rsidRPr="00C91C54" w:rsidRDefault="00B364B6" w:rsidP="00B364B6">
      <w:pPr>
        <w:numPr>
          <w:ilvl w:val="0"/>
          <w:numId w:val="0"/>
        </w:numPr>
        <w:suppressAutoHyphens w:val="0"/>
        <w:ind w:left="720"/>
        <w:jc w:val="both"/>
      </w:pPr>
    </w:p>
    <w:p w:rsidR="00B364B6" w:rsidRPr="00C91C54" w:rsidRDefault="00B364B6" w:rsidP="00B364B6">
      <w:pPr>
        <w:tabs>
          <w:tab w:val="clear" w:pos="820"/>
          <w:tab w:val="num" w:pos="0"/>
        </w:tabs>
        <w:spacing w:after="120"/>
        <w:ind w:left="0" w:firstLine="0"/>
        <w:jc w:val="both"/>
        <w:rPr>
          <w:b/>
        </w:rPr>
      </w:pPr>
      <w:r w:rsidRPr="00C91C54">
        <w:rPr>
          <w:b/>
        </w:rPr>
        <w:t>Uwagi: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 xml:space="preserve">Jeżeli w SIWZ lub załącznikach została wskazana nazwa producenta, znak towarowy, patent lub pochodzenie w stosunku do określonych materiałów, urządzeń, itp. Zamawiający wymaga, aby traktować takie wskazanie, jako przykładowe i dopuszcza zastosowanie przy realizacji </w:t>
      </w:r>
      <w:proofErr w:type="spellStart"/>
      <w:r w:rsidRPr="00C91C54">
        <w:t>zamówienia</w:t>
      </w:r>
      <w:proofErr w:type="spellEnd"/>
      <w:r w:rsidRPr="00C91C54">
        <w:t xml:space="preserve"> materiałów, urządzeń równoważnych o parametrach nie gorszych niż wskazane w dokumentacji technicznej.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 xml:space="preserve">Dopuszcza się rozwiązania równoważne opisywanym za pomocą norm, aprobat, specyfikacji technicznych lub systemów odniesienia, o których mowa w art. 30 ust. 1-3 ustawy </w:t>
      </w:r>
      <w:proofErr w:type="spellStart"/>
      <w:r w:rsidRPr="00C91C54">
        <w:t>pzp</w:t>
      </w:r>
      <w:proofErr w:type="spellEnd"/>
      <w:r w:rsidRPr="00C91C54">
        <w:t>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>Przygotować szczegółowy harmonogram prac z podziałem na segmenty ze względu na</w:t>
      </w:r>
      <w:r>
        <w:t> </w:t>
      </w:r>
      <w:r w:rsidRPr="00C91C54">
        <w:t xml:space="preserve">wielkość terenu oraz możliwość dostępu do instytucji i placu </w:t>
      </w:r>
      <w:proofErr w:type="spellStart"/>
      <w:r w:rsidRPr="00C91C54">
        <w:t>zabaw</w:t>
      </w:r>
      <w:proofErr w:type="spellEnd"/>
      <w:r w:rsidRPr="00C91C54">
        <w:t>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 xml:space="preserve">W związku z prowadzonymi robotami budowlanymi obejmującymi budynki skrzydeł pałacowych należy uwzględnić chwilowe problemy z dostępnością terenu wokół tych budynków. Wykonawca </w:t>
      </w:r>
      <w:proofErr w:type="spellStart"/>
      <w:r w:rsidRPr="00C91C54">
        <w:t>robót</w:t>
      </w:r>
      <w:proofErr w:type="spellEnd"/>
      <w:r w:rsidRPr="00C91C54">
        <w:t xml:space="preserve"> to Konsorcjum firm, lider </w:t>
      </w:r>
      <w:proofErr w:type="spellStart"/>
      <w:r w:rsidRPr="00C91C54">
        <w:t>przedsiębiorstwo</w:t>
      </w:r>
      <w:proofErr w:type="spellEnd"/>
      <w:r w:rsidRPr="00C91C54">
        <w:t xml:space="preserve"> PBO Śląsk sp. z o.o. z siedzibą w Sosnowcu przy ul. Wojska Polskiego 136A, członek konsorcjum DOTO </w:t>
      </w:r>
      <w:proofErr w:type="spellStart"/>
      <w:r w:rsidRPr="00C91C54">
        <w:t>Polska</w:t>
      </w:r>
      <w:proofErr w:type="spellEnd"/>
      <w:r w:rsidRPr="00C91C54">
        <w:t xml:space="preserve"> sp. z o.o. z siedzibą w Kielcach przy ul. </w:t>
      </w:r>
      <w:proofErr w:type="spellStart"/>
      <w:r w:rsidRPr="00C91C54">
        <w:t>Zagnańskiej</w:t>
      </w:r>
      <w:proofErr w:type="spellEnd"/>
      <w:r w:rsidRPr="00C91C54">
        <w:t xml:space="preserve"> 153.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rPr>
          <w:lang w:eastAsia="pl-PL"/>
        </w:rPr>
        <w:lastRenderedPageBreak/>
        <w:t>Wypełnić obowiązki wynikające z decyzji Starosty Koneckiego i Świętokrzyskiego Wojewódzkiego Konserwatora Zabytków w Kielcach.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rPr>
          <w:lang w:eastAsia="pl-PL"/>
        </w:rPr>
        <w:t xml:space="preserve">O rozpoczęciu i zakończeniu </w:t>
      </w:r>
      <w:proofErr w:type="spellStart"/>
      <w:r w:rsidRPr="00C91C54">
        <w:rPr>
          <w:lang w:eastAsia="pl-PL"/>
        </w:rPr>
        <w:t>robót</w:t>
      </w:r>
      <w:proofErr w:type="spellEnd"/>
      <w:r w:rsidRPr="00C91C54">
        <w:rPr>
          <w:lang w:eastAsia="pl-PL"/>
        </w:rPr>
        <w:t xml:space="preserve"> Wykonawca winien powiadomić Nadzór budowlany w Końskich ul. Staszica 2, 26-200 Końskie  oraz Konserwatora Zabytków Al. IX Wieków Kielc 3; 25-516 </w:t>
      </w:r>
      <w:proofErr w:type="spellStart"/>
      <w:r w:rsidRPr="00C91C54">
        <w:rPr>
          <w:lang w:eastAsia="pl-PL"/>
        </w:rPr>
        <w:t>Kielce</w:t>
      </w:r>
      <w:proofErr w:type="spellEnd"/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 xml:space="preserve">Przystąpienie do realizacji prac związanych z infrastrukturą należy zgłosić w formie pisemnej do ww. gestorów sieci, w celu wyznaczenia nadzoru technicznego.; tj. Przedsiębiorstwo Wodociągów i Kanalizacji w Modliszewicach ul. Piotrkowska 2E; 26-200 Końskie; PGE Dystrybucja S.A. Oddział Skarżysko Kamienna ul. </w:t>
      </w:r>
      <w:proofErr w:type="spellStart"/>
      <w:r w:rsidRPr="00C91C54">
        <w:t>Rejowska</w:t>
      </w:r>
      <w:proofErr w:type="spellEnd"/>
      <w:r w:rsidRPr="00C91C54">
        <w:t xml:space="preserve"> 95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 xml:space="preserve">Wykonawca uzyska wszelkie decyzje, opinie, uzgodnienia w trakcie trwania </w:t>
      </w:r>
      <w:proofErr w:type="spellStart"/>
      <w:r w:rsidRPr="00C91C54">
        <w:t>robót</w:t>
      </w:r>
      <w:proofErr w:type="spellEnd"/>
      <w:r w:rsidRPr="00C91C54">
        <w:t xml:space="preserve">, które okażą się niezbędne do prawidłowego wykonania </w:t>
      </w:r>
      <w:proofErr w:type="spellStart"/>
      <w:r w:rsidRPr="00C91C54">
        <w:t>robót</w:t>
      </w:r>
      <w:proofErr w:type="spellEnd"/>
      <w:r w:rsidRPr="00C91C54">
        <w:t>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>Obowi</w:t>
      </w:r>
      <w:r w:rsidRPr="00C91C54">
        <w:rPr>
          <w:rFonts w:eastAsia="TimesNewRoman"/>
        </w:rPr>
        <w:t>ą</w:t>
      </w:r>
      <w:r w:rsidRPr="00C91C54">
        <w:t>zkiem Wykonawcy Robót jest zawiadomienie zainteresowanych wła</w:t>
      </w:r>
      <w:r w:rsidRPr="00C91C54">
        <w:rPr>
          <w:rFonts w:eastAsia="TimesNewRoman"/>
        </w:rPr>
        <w:t>ś</w:t>
      </w:r>
      <w:r w:rsidRPr="00C91C54">
        <w:t xml:space="preserve">cicieli działek i budynków o terminach prowadzenia </w:t>
      </w:r>
      <w:proofErr w:type="spellStart"/>
      <w:r w:rsidRPr="00C91C54">
        <w:t>robót</w:t>
      </w:r>
      <w:proofErr w:type="spellEnd"/>
      <w:r w:rsidRPr="00C91C54">
        <w:t xml:space="preserve"> i ograniczeniach ruchu kołowego (pisma i tablice informacyjne).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>O planowanym terminie wykonania wykopów nale</w:t>
      </w:r>
      <w:r w:rsidRPr="00C91C54">
        <w:rPr>
          <w:rFonts w:eastAsia="TimesNewRoman"/>
        </w:rPr>
        <w:t>ż</w:t>
      </w:r>
      <w:r w:rsidRPr="00C91C54">
        <w:t>y zawiadomi</w:t>
      </w:r>
      <w:r w:rsidRPr="00C91C54">
        <w:rPr>
          <w:rFonts w:eastAsia="TimesNewRoman"/>
        </w:rPr>
        <w:t xml:space="preserve">ć </w:t>
      </w:r>
      <w:r w:rsidRPr="00C91C54">
        <w:t>U</w:t>
      </w:r>
      <w:r w:rsidRPr="00C91C54">
        <w:rPr>
          <w:rFonts w:eastAsia="TimesNewRoman"/>
        </w:rPr>
        <w:t>ż</w:t>
      </w:r>
      <w:r w:rsidRPr="00C91C54">
        <w:t>ytkowników istniej</w:t>
      </w:r>
      <w:r w:rsidRPr="00C91C54">
        <w:rPr>
          <w:rFonts w:eastAsia="TimesNewRoman"/>
        </w:rPr>
        <w:t>ą</w:t>
      </w:r>
      <w:r w:rsidRPr="00C91C54">
        <w:t>cych ruroci</w:t>
      </w:r>
      <w:r w:rsidRPr="00C91C54">
        <w:rPr>
          <w:rFonts w:eastAsia="TimesNewRoman"/>
        </w:rPr>
        <w:t>ą</w:t>
      </w:r>
      <w:r w:rsidRPr="00C91C54">
        <w:t>gów i kabli.</w:t>
      </w:r>
    </w:p>
    <w:p w:rsidR="00B364B6" w:rsidRPr="00C91C54" w:rsidRDefault="00B364B6" w:rsidP="00B364B6">
      <w:pPr>
        <w:pStyle w:val="Akapitzlist"/>
        <w:numPr>
          <w:ilvl w:val="0"/>
          <w:numId w:val="0"/>
        </w:numPr>
        <w:tabs>
          <w:tab w:val="num" w:pos="0"/>
        </w:tabs>
        <w:suppressAutoHyphens w:val="0"/>
        <w:contextualSpacing/>
        <w:jc w:val="both"/>
      </w:pPr>
      <w:r w:rsidRPr="00C91C54">
        <w:t>Zakończone prace należy zgłosić do odbioru wraz z dokumentacją powykonawczą zawierającą m.in. inwentaryzację geodezyjną powykonawczą, co najmniej 14 dni przed planowanym odbiorem.</w:t>
      </w:r>
    </w:p>
    <w:p w:rsidR="006C15BB" w:rsidRDefault="00B364B6" w:rsidP="00B364B6">
      <w:pPr>
        <w:numPr>
          <w:ilvl w:val="0"/>
          <w:numId w:val="0"/>
        </w:numPr>
        <w:tabs>
          <w:tab w:val="num" w:pos="0"/>
        </w:tabs>
        <w:rPr>
          <w:bCs/>
        </w:rPr>
      </w:pPr>
      <w:r w:rsidRPr="00C91C54">
        <w:rPr>
          <w:bCs/>
        </w:rPr>
        <w:t>W przypadku rozbieżności w dokumentacji, a udzielonymi odpowiedziami w</w:t>
      </w:r>
      <w:r>
        <w:rPr>
          <w:bCs/>
        </w:rPr>
        <w:t xml:space="preserve"> postępowaniu </w:t>
      </w:r>
      <w:r w:rsidRPr="00C91C54">
        <w:rPr>
          <w:bCs/>
        </w:rPr>
        <w:t>przetargowym, należy brać pod uwagę udzielone odpowiedzi</w:t>
      </w:r>
    </w:p>
    <w:p w:rsidR="001D5F1B" w:rsidRPr="001D5F1B" w:rsidRDefault="001D5F1B" w:rsidP="001D5F1B">
      <w:pPr>
        <w:numPr>
          <w:ilvl w:val="0"/>
          <w:numId w:val="0"/>
        </w:numPr>
        <w:jc w:val="both"/>
      </w:pPr>
      <w:r w:rsidRPr="001D5F1B">
        <w:t xml:space="preserve">Standardy jakościowe oraz dostępność projektu dla osób niepełnosprawnych zostały określone w dokumentacji projektowej oraz w treści specyfikacji technicznej wykonania i odbioru </w:t>
      </w:r>
      <w:proofErr w:type="spellStart"/>
      <w:r w:rsidRPr="001D5F1B">
        <w:t>robót</w:t>
      </w:r>
      <w:proofErr w:type="spellEnd"/>
      <w:r w:rsidRPr="001D5F1B">
        <w:t xml:space="preserve"> </w:t>
      </w:r>
    </w:p>
    <w:p w:rsidR="001D5F1B" w:rsidRPr="001D5F1B" w:rsidRDefault="001D5F1B" w:rsidP="001D5F1B">
      <w:pPr>
        <w:numPr>
          <w:ilvl w:val="0"/>
          <w:numId w:val="0"/>
        </w:numPr>
      </w:pPr>
      <w:r w:rsidRPr="001D5F1B">
        <w:t xml:space="preserve">Gwarancja jakości na materiały i roboty budowlane </w:t>
      </w:r>
      <w:r w:rsidRPr="001D5F1B">
        <w:tab/>
      </w:r>
      <w:r w:rsidRPr="001D5F1B">
        <w:br/>
        <w:t xml:space="preserve">Wykonawca zobowiązany jest udzielić na zastosowane materiały i roboty budowlane min. 36 </w:t>
      </w:r>
      <w:proofErr w:type="spellStart"/>
      <w:r w:rsidRPr="001D5F1B">
        <w:t>m-cy</w:t>
      </w:r>
      <w:proofErr w:type="spellEnd"/>
      <w:r w:rsidRPr="001D5F1B">
        <w:t xml:space="preserve"> licząc od dnia podpisania protokołu odbioru końcowego bez uwag. Okres rękojmi jest równoznaczny </w:t>
      </w:r>
      <w:r w:rsidRPr="001D5F1B">
        <w:br/>
        <w:t>z okresem gwarancji określonym przez Wykonawcę w formularzu ofertowym.</w:t>
      </w:r>
    </w:p>
    <w:p w:rsidR="001D5F1B" w:rsidRPr="001D5F1B" w:rsidRDefault="001D5F1B" w:rsidP="001D5F1B">
      <w:pPr>
        <w:numPr>
          <w:ilvl w:val="0"/>
          <w:numId w:val="0"/>
        </w:numPr>
        <w:tabs>
          <w:tab w:val="num" w:pos="0"/>
        </w:tabs>
        <w:rPr>
          <w:bCs/>
        </w:rPr>
      </w:pPr>
    </w:p>
    <w:p w:rsidR="00D0057C" w:rsidRPr="0021622F" w:rsidRDefault="00D0057C" w:rsidP="00D0057C">
      <w:pPr>
        <w:numPr>
          <w:ilvl w:val="0"/>
          <w:numId w:val="0"/>
        </w:numPr>
        <w:suppressAutoHyphens w:val="0"/>
        <w:spacing w:after="160" w:line="259" w:lineRule="auto"/>
        <w:ind w:left="708" w:hanging="708"/>
        <w:contextualSpacing/>
        <w:jc w:val="both"/>
        <w:rPr>
          <w:lang w:eastAsia="pl-PL"/>
        </w:rPr>
      </w:pPr>
      <w:r w:rsidRPr="0021622F">
        <w:rPr>
          <w:lang w:eastAsia="pl-PL"/>
        </w:rPr>
        <w:t xml:space="preserve">Wymagania, o których mowa w art. 29 ust. 3a ustawy Prawo zamówień publicznych: </w:t>
      </w:r>
    </w:p>
    <w:p w:rsidR="00B364B6" w:rsidRPr="00B364B6" w:rsidRDefault="00B364B6" w:rsidP="00B364B6">
      <w:pPr>
        <w:numPr>
          <w:ilvl w:val="0"/>
          <w:numId w:val="0"/>
        </w:numPr>
        <w:ind w:left="820" w:hanging="720"/>
      </w:pPr>
    </w:p>
    <w:p w:rsidR="00B364B6" w:rsidRPr="00C91C54" w:rsidRDefault="00B364B6" w:rsidP="00B364B6">
      <w:pPr>
        <w:numPr>
          <w:ilvl w:val="0"/>
          <w:numId w:val="0"/>
        </w:numPr>
        <w:jc w:val="both"/>
      </w:pPr>
      <w:r w:rsidRPr="00B364B6">
        <w:rPr>
          <w:b/>
        </w:rPr>
        <w:t>IV</w:t>
      </w:r>
      <w:r>
        <w:t xml:space="preserve"> </w:t>
      </w:r>
      <w:r w:rsidRPr="00C91C54">
        <w:t xml:space="preserve">Zamawiający stosownie do art. 29 ust. 3a ustawy, wymaga </w:t>
      </w:r>
      <w:r>
        <w:t xml:space="preserve">aby </w:t>
      </w:r>
      <w:r w:rsidRPr="00C91C54">
        <w:t xml:space="preserve">osoby wykonujące czynności w zakresie realizacji przedmiotu </w:t>
      </w:r>
      <w:proofErr w:type="spellStart"/>
      <w:r w:rsidRPr="00C91C54">
        <w:t>zamówienia</w:t>
      </w:r>
      <w:proofErr w:type="spellEnd"/>
      <w:r w:rsidRPr="00C91C54">
        <w:t xml:space="preserve">, których wykonanie polega na wykonywaniu pracy w sposób określony wart. 22 § 1* ustawy z dnia 26 czerwca 1974 r. - Kodeks pracy, zostały zatrudnione przez wykonawcę lub podwykonawcę na podstawie umowy o pracę. </w:t>
      </w:r>
    </w:p>
    <w:p w:rsidR="00B364B6" w:rsidRPr="00C91C54" w:rsidRDefault="00B364B6" w:rsidP="00B364B6">
      <w:pPr>
        <w:numPr>
          <w:ilvl w:val="0"/>
          <w:numId w:val="0"/>
        </w:numPr>
        <w:spacing w:after="120"/>
        <w:jc w:val="both"/>
      </w:pPr>
      <w:r w:rsidRPr="00C91C54">
        <w:t xml:space="preserve">Wykonawca lub podwykonawca zatrudni wyżej wymienione osoby na okres realizacji </w:t>
      </w:r>
      <w:proofErr w:type="spellStart"/>
      <w:r w:rsidRPr="00C91C54">
        <w:t>zamówienia</w:t>
      </w:r>
      <w:proofErr w:type="spellEnd"/>
      <w:r w:rsidRPr="00C91C54">
        <w:t xml:space="preserve">. </w:t>
      </w:r>
      <w:r w:rsidRPr="00C91C54">
        <w:br/>
        <w:t xml:space="preserve">W przypadku rozwiązania stosunku pracy przed zakończeniem tego okresu, zobowiązuje się do niezwłocznego zatrudnienia na to miejsce innej osoby. </w:t>
      </w:r>
    </w:p>
    <w:p w:rsidR="00B364B6" w:rsidRPr="00F14834" w:rsidRDefault="00B364B6" w:rsidP="00B364B6">
      <w:pPr>
        <w:numPr>
          <w:ilvl w:val="0"/>
          <w:numId w:val="0"/>
        </w:numPr>
        <w:spacing w:after="120"/>
        <w:jc w:val="both"/>
        <w:rPr>
          <w:sz w:val="20"/>
          <w:szCs w:val="20"/>
        </w:rPr>
      </w:pPr>
      <w:r w:rsidRPr="00F14834">
        <w:rPr>
          <w:sz w:val="20"/>
          <w:szCs w:val="20"/>
        </w:rPr>
        <w:t xml:space="preserve">*art. 22 § 1 ustawy z dnia 26 czerwca 1976 r. -Kodeks pracy: Przez nawiązanie stosunku pracy pracownik zobowiązuje się do wykonywania pracy określonego rodzaju na rzecz pracodawcy i pod jego kierownictwem oraz w miejscu i czasie wyznaczonym </w:t>
      </w:r>
      <w:r>
        <w:rPr>
          <w:sz w:val="20"/>
          <w:szCs w:val="20"/>
        </w:rPr>
        <w:t>przez pracodawcę, a pracodawca do zatrudniania pracownika za </w:t>
      </w:r>
      <w:r w:rsidRPr="00F14834">
        <w:rPr>
          <w:sz w:val="20"/>
          <w:szCs w:val="20"/>
        </w:rPr>
        <w:t xml:space="preserve">wynagrodzeniem. </w:t>
      </w:r>
    </w:p>
    <w:p w:rsidR="00B364B6" w:rsidRPr="00C91C54" w:rsidRDefault="00B364B6" w:rsidP="00B364B6">
      <w:pPr>
        <w:numPr>
          <w:ilvl w:val="0"/>
          <w:numId w:val="0"/>
        </w:numPr>
        <w:spacing w:after="120"/>
        <w:jc w:val="both"/>
      </w:pPr>
      <w:r w:rsidRPr="00C91C54">
        <w:t xml:space="preserve">Rodzaj czynności niezbędnych do realizacji </w:t>
      </w:r>
      <w:proofErr w:type="spellStart"/>
      <w:r w:rsidRPr="00C91C54">
        <w:t>zamówienia</w:t>
      </w:r>
      <w:proofErr w:type="spellEnd"/>
      <w:r w:rsidRPr="00C91C54">
        <w:t xml:space="preserve">, których dotyczą wymagania zatrudnienia na podstawie umowy o pracę przez wykonawcę lub podwykonawcę osób wykonujących czynności w trakcie realizacji </w:t>
      </w:r>
      <w:proofErr w:type="spellStart"/>
      <w:r w:rsidRPr="00C91C54">
        <w:t>zamówienia</w:t>
      </w:r>
      <w:proofErr w:type="spellEnd"/>
      <w:r w:rsidRPr="00C91C54">
        <w:t xml:space="preserve">: </w:t>
      </w:r>
    </w:p>
    <w:p w:rsidR="00B364B6" w:rsidRPr="00B364B6" w:rsidRDefault="00B364B6" w:rsidP="00B364B6">
      <w:pPr>
        <w:numPr>
          <w:ilvl w:val="0"/>
          <w:numId w:val="0"/>
        </w:numPr>
        <w:spacing w:after="120"/>
        <w:jc w:val="both"/>
        <w:rPr>
          <w:b/>
        </w:rPr>
      </w:pPr>
      <w:r w:rsidRPr="00B364B6">
        <w:rPr>
          <w:b/>
        </w:rPr>
        <w:lastRenderedPageBreak/>
        <w:t>czynności polegające na: wykonaniu fundamentów, ścian nadziemnych konstrukcyjnych, konstrukcję i nawierzchnię dróg i chodników oraz oświetlenie parkowe.</w:t>
      </w:r>
    </w:p>
    <w:p w:rsidR="00B364B6" w:rsidRPr="00C91C54" w:rsidRDefault="00B364B6" w:rsidP="00B364B6">
      <w:pPr>
        <w:numPr>
          <w:ilvl w:val="0"/>
          <w:numId w:val="0"/>
        </w:numPr>
        <w:spacing w:after="120"/>
        <w:jc w:val="both"/>
      </w:pPr>
      <w:r w:rsidRPr="00C91C54">
        <w:t xml:space="preserve">Sankcje z tytułu niespełnienia wymagań w zakresie zatrudnienia. </w:t>
      </w:r>
    </w:p>
    <w:p w:rsidR="00B364B6" w:rsidRPr="00C91C54" w:rsidRDefault="00B364B6" w:rsidP="00B364B6">
      <w:pPr>
        <w:numPr>
          <w:ilvl w:val="0"/>
          <w:numId w:val="0"/>
        </w:numPr>
        <w:jc w:val="both"/>
      </w:pPr>
      <w:r w:rsidRPr="00C91C54">
        <w:t xml:space="preserve">W przypadku nie przedstawienia w terminie </w:t>
      </w:r>
      <w:r>
        <w:t>10 dni licząc od daty podpisania umowy dokumentów potwierdzających zatrudnienie wymaganych osób- oświadczenia wykonawcy lub podwykonawcy o zatrudnieniu na podstawie umowy o pracę osób wykonujący</w:t>
      </w:r>
      <w:r w:rsidR="00D0057C">
        <w:t xml:space="preserve">ch czynności określone w TOM III IDW </w:t>
      </w:r>
      <w:r>
        <w:t xml:space="preserve"> </w:t>
      </w:r>
      <w:proofErr w:type="spellStart"/>
      <w:r>
        <w:t>pkt</w:t>
      </w:r>
      <w:proofErr w:type="spellEnd"/>
      <w:r>
        <w:t xml:space="preserve"> 4  </w:t>
      </w:r>
      <w:r w:rsidRPr="00C91C54">
        <w:t>wykonawca zapłaci zamawiającemu karę w wysokości 10 000,00  PLN.</w:t>
      </w:r>
    </w:p>
    <w:p w:rsidR="00D0057C" w:rsidRPr="0021622F" w:rsidRDefault="00D0057C" w:rsidP="00D0057C">
      <w:pPr>
        <w:numPr>
          <w:ilvl w:val="0"/>
          <w:numId w:val="0"/>
        </w:numPr>
        <w:suppressAutoHyphens w:val="0"/>
        <w:spacing w:after="160" w:line="259" w:lineRule="auto"/>
        <w:contextualSpacing/>
        <w:jc w:val="both"/>
        <w:rPr>
          <w:lang w:eastAsia="pl-PL"/>
        </w:rPr>
      </w:pPr>
      <w:r w:rsidRPr="0021622F">
        <w:rPr>
          <w:lang w:eastAsia="pl-PL"/>
        </w:rPr>
        <w:t xml:space="preserve">W przypadku uzasadnionych wątpliwości co do przestrzegania prawa pracy przez wykonawcę lub podwykonawcę, Zamawiający może zwrócić się o przeprowadzenie kontroli przez Państwową Inspekcję Pracy.  </w:t>
      </w:r>
    </w:p>
    <w:p w:rsidR="00B364B6" w:rsidRDefault="00B364B6" w:rsidP="00B364B6">
      <w:pPr>
        <w:numPr>
          <w:ilvl w:val="0"/>
          <w:numId w:val="0"/>
        </w:numPr>
        <w:ind w:left="820"/>
      </w:pPr>
    </w:p>
    <w:sectPr w:rsidR="00B364B6" w:rsidSect="00117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B6" w:rsidRDefault="00B364B6" w:rsidP="00B364B6">
      <w:r>
        <w:separator/>
      </w:r>
    </w:p>
  </w:endnote>
  <w:endnote w:type="continuationSeparator" w:id="0">
    <w:p w:rsidR="00B364B6" w:rsidRDefault="00B364B6" w:rsidP="00B3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B6" w:rsidRDefault="00B364B6" w:rsidP="00B364B6">
      <w:r>
        <w:separator/>
      </w:r>
    </w:p>
  </w:footnote>
  <w:footnote w:type="continuationSeparator" w:id="0">
    <w:p w:rsidR="00B364B6" w:rsidRDefault="00B364B6" w:rsidP="00B36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B364B6" w:rsidRPr="00724C06" w:rsidTr="00724C06">
      <w:tc>
        <w:tcPr>
          <w:tcW w:w="2660" w:type="dxa"/>
          <w:vAlign w:val="center"/>
        </w:tcPr>
        <w:p w:rsidR="00B364B6" w:rsidRPr="00724C06" w:rsidRDefault="002039D5" w:rsidP="00B364B6">
          <w:pPr>
            <w:numPr>
              <w:ilvl w:val="0"/>
              <w:numId w:val="0"/>
            </w:numPr>
            <w:ind w:left="-142"/>
          </w:pPr>
          <w:r w:rsidRPr="002039D5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B364B6" w:rsidRPr="00724C06" w:rsidRDefault="002039D5" w:rsidP="00724C06">
          <w:pPr>
            <w:ind w:left="34"/>
            <w:jc w:val="center"/>
          </w:pPr>
          <w:r w:rsidRPr="002039D5"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B364B6" w:rsidRPr="00724C06" w:rsidRDefault="00B364B6" w:rsidP="00B364B6">
          <w:pPr>
            <w:numPr>
              <w:ilvl w:val="0"/>
              <w:numId w:val="0"/>
            </w:numPr>
            <w:ind w:left="820" w:right="-108" w:hanging="720"/>
          </w:pPr>
          <w:r>
            <w:rPr>
              <w:noProof/>
              <w:lang w:eastAsia="pl-PL"/>
            </w:rPr>
            <w:t xml:space="preserve">      </w:t>
          </w:r>
          <w:r w:rsidR="002039D5" w:rsidRPr="002039D5"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B364B6" w:rsidRDefault="00B364B6" w:rsidP="00B364B6">
    <w:pPr>
      <w:pStyle w:val="Nagwek"/>
      <w:numPr>
        <w:ilvl w:val="0"/>
        <w:numId w:val="0"/>
      </w:numPr>
      <w:ind w:left="820" w:hanging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upperRoman"/>
      <w:pStyle w:val="Stopka"/>
      <w:lvlText w:val="%1."/>
      <w:lvlJc w:val="left"/>
      <w:pPr>
        <w:tabs>
          <w:tab w:val="num" w:pos="820"/>
        </w:tabs>
        <w:ind w:left="820" w:hanging="720"/>
      </w:pPr>
    </w:lvl>
  </w:abstractNum>
  <w:abstractNum w:abstractNumId="1">
    <w:nsid w:val="01137521"/>
    <w:multiLevelType w:val="multilevel"/>
    <w:tmpl w:val="F8A8F7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CB5433"/>
    <w:multiLevelType w:val="hybridMultilevel"/>
    <w:tmpl w:val="DFB6E240"/>
    <w:lvl w:ilvl="0" w:tplc="D88865F6">
      <w:start w:val="1"/>
      <w:numFmt w:val="decimal"/>
      <w:pStyle w:val="Nagwek1"/>
      <w:lvlText w:val="%1."/>
      <w:lvlJc w:val="left"/>
      <w:pPr>
        <w:ind w:left="720" w:hanging="360"/>
      </w:pPr>
    </w:lvl>
    <w:lvl w:ilvl="1" w:tplc="F856B454" w:tentative="1">
      <w:start w:val="1"/>
      <w:numFmt w:val="lowerLetter"/>
      <w:lvlText w:val="%2."/>
      <w:lvlJc w:val="left"/>
      <w:pPr>
        <w:ind w:left="1440" w:hanging="360"/>
      </w:pPr>
    </w:lvl>
    <w:lvl w:ilvl="2" w:tplc="6CB6F95A" w:tentative="1">
      <w:start w:val="1"/>
      <w:numFmt w:val="lowerRoman"/>
      <w:lvlText w:val="%3."/>
      <w:lvlJc w:val="right"/>
      <w:pPr>
        <w:ind w:left="2160" w:hanging="180"/>
      </w:pPr>
    </w:lvl>
    <w:lvl w:ilvl="3" w:tplc="8AE27A2A" w:tentative="1">
      <w:start w:val="1"/>
      <w:numFmt w:val="decimal"/>
      <w:lvlText w:val="%4."/>
      <w:lvlJc w:val="left"/>
      <w:pPr>
        <w:ind w:left="2880" w:hanging="360"/>
      </w:pPr>
    </w:lvl>
    <w:lvl w:ilvl="4" w:tplc="FC74715A" w:tentative="1">
      <w:start w:val="1"/>
      <w:numFmt w:val="lowerLetter"/>
      <w:lvlText w:val="%5."/>
      <w:lvlJc w:val="left"/>
      <w:pPr>
        <w:ind w:left="3600" w:hanging="360"/>
      </w:pPr>
    </w:lvl>
    <w:lvl w:ilvl="5" w:tplc="E7846750" w:tentative="1">
      <w:start w:val="1"/>
      <w:numFmt w:val="lowerRoman"/>
      <w:lvlText w:val="%6."/>
      <w:lvlJc w:val="right"/>
      <w:pPr>
        <w:ind w:left="4320" w:hanging="180"/>
      </w:pPr>
    </w:lvl>
    <w:lvl w:ilvl="6" w:tplc="DC7C05E0" w:tentative="1">
      <w:start w:val="1"/>
      <w:numFmt w:val="decimal"/>
      <w:lvlText w:val="%7."/>
      <w:lvlJc w:val="left"/>
      <w:pPr>
        <w:ind w:left="5040" w:hanging="360"/>
      </w:pPr>
    </w:lvl>
    <w:lvl w:ilvl="7" w:tplc="9E661EB8" w:tentative="1">
      <w:start w:val="1"/>
      <w:numFmt w:val="lowerLetter"/>
      <w:lvlText w:val="%8."/>
      <w:lvlJc w:val="left"/>
      <w:pPr>
        <w:ind w:left="5760" w:hanging="360"/>
      </w:pPr>
    </w:lvl>
    <w:lvl w:ilvl="8" w:tplc="FCB09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73EF"/>
    <w:multiLevelType w:val="multilevel"/>
    <w:tmpl w:val="920C751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4">
    <w:nsid w:val="21BE1D9D"/>
    <w:multiLevelType w:val="hybridMultilevel"/>
    <w:tmpl w:val="730C36C0"/>
    <w:name w:val="Outline"/>
    <w:lvl w:ilvl="0" w:tplc="63B81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762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4D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8C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2B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04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4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A9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E1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F37CF"/>
    <w:multiLevelType w:val="hybridMultilevel"/>
    <w:tmpl w:val="7F648A9C"/>
    <w:lvl w:ilvl="0" w:tplc="D7FEBC7A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758C2"/>
    <w:multiLevelType w:val="hybridMultilevel"/>
    <w:tmpl w:val="CA581084"/>
    <w:lvl w:ilvl="0" w:tplc="04150005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/>
  <w:rsids>
    <w:rsidRoot w:val="00B364B6"/>
    <w:rsid w:val="00117DB2"/>
    <w:rsid w:val="001D5F1B"/>
    <w:rsid w:val="002039D5"/>
    <w:rsid w:val="005F4A66"/>
    <w:rsid w:val="00AD5227"/>
    <w:rsid w:val="00B00529"/>
    <w:rsid w:val="00B364B6"/>
    <w:rsid w:val="00D0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B6"/>
    <w:pPr>
      <w:numPr>
        <w:ilvl w:val="8"/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64B6"/>
    <w:pPr>
      <w:keepNext/>
      <w:numPr>
        <w:ilvl w:val="0"/>
        <w:numId w:val="2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64B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B364B6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B364B6"/>
    <w:pPr>
      <w:tabs>
        <w:tab w:val="clear" w:pos="82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6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64B6"/>
    <w:pPr>
      <w:tabs>
        <w:tab w:val="clear" w:pos="82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6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1D5F1B"/>
    <w:pPr>
      <w:numPr>
        <w:ilvl w:val="0"/>
        <w:numId w:val="0"/>
      </w:num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005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1796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dcterms:created xsi:type="dcterms:W3CDTF">2020-07-31T11:45:00Z</dcterms:created>
  <dcterms:modified xsi:type="dcterms:W3CDTF">2020-07-31T12:39:00Z</dcterms:modified>
</cp:coreProperties>
</file>