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69" w:rsidRPr="009818FB" w:rsidRDefault="00047969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ZP.271.1.14</w:t>
      </w:r>
      <w:r w:rsidRPr="009818FB">
        <w:rPr>
          <w:rFonts w:ascii="Times New Roman" w:hAnsi="Times New Roman"/>
          <w:sz w:val="24"/>
          <w:szCs w:val="24"/>
          <w:lang w:eastAsia="pl-PL"/>
        </w:rPr>
        <w:t xml:space="preserve">.2020.DS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01.07</w:t>
      </w:r>
      <w:r w:rsidRPr="009818FB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047969" w:rsidRPr="009818FB" w:rsidRDefault="00047969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47969" w:rsidRPr="009818FB" w:rsidRDefault="00047969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47969" w:rsidRPr="009818FB" w:rsidRDefault="00047969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047969" w:rsidRPr="009818FB" w:rsidRDefault="00047969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047969" w:rsidRPr="009818FB" w:rsidRDefault="00047969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47969" w:rsidRPr="009818FB" w:rsidRDefault="00047969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8FB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9818FB">
        <w:rPr>
          <w:rFonts w:ascii="Times New Roman" w:hAnsi="Times New Roman"/>
          <w:sz w:val="24"/>
          <w:szCs w:val="24"/>
        </w:rPr>
        <w:t xml:space="preserve"> </w:t>
      </w:r>
      <w:r w:rsidRPr="009818FB">
        <w:rPr>
          <w:rFonts w:ascii="Times New Roman" w:hAnsi="Times New Roman"/>
          <w:b/>
          <w:sz w:val="24"/>
          <w:szCs w:val="24"/>
        </w:rPr>
        <w:t>„Przebudowa ulic w centrum miasta Końskie”</w:t>
      </w:r>
    </w:p>
    <w:p w:rsidR="00047969" w:rsidRPr="009818FB" w:rsidRDefault="00047969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969" w:rsidRPr="009818FB" w:rsidRDefault="00047969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8FB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</w:t>
      </w:r>
      <w:r>
        <w:rPr>
          <w:rFonts w:ascii="Times New Roman" w:hAnsi="Times New Roman"/>
          <w:sz w:val="24"/>
          <w:szCs w:val="24"/>
        </w:rPr>
        <w:t>i  pytaniami</w:t>
      </w:r>
      <w:r w:rsidRPr="009818FB">
        <w:rPr>
          <w:rFonts w:ascii="Times New Roman" w:hAnsi="Times New Roman"/>
          <w:sz w:val="24"/>
          <w:szCs w:val="24"/>
        </w:rPr>
        <w:t>:</w:t>
      </w:r>
    </w:p>
    <w:p w:rsidR="00047969" w:rsidRPr="009818FB" w:rsidRDefault="00047969" w:rsidP="009818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047969" w:rsidRPr="003D75B0" w:rsidRDefault="00047969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75B0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rStyle w:val="Strong"/>
          <w:rFonts w:cs="Segoe UI"/>
          <w:b w:val="0"/>
          <w:bCs/>
          <w:color w:val="auto"/>
        </w:rPr>
      </w:pPr>
      <w:r w:rsidRPr="003D75B0">
        <w:rPr>
          <w:rStyle w:val="Strong"/>
          <w:rFonts w:cs="Segoe UI"/>
          <w:b w:val="0"/>
          <w:bCs/>
          <w:color w:val="auto"/>
        </w:rPr>
        <w:t xml:space="preserve">Rozbudowa skrzyżowania ul. Piłsudskiego z ul. 3-go Maja i Kazanowską w Końskie (rondo) wg dokumentacji opracowanej przez Specjalistyczne Biuro Inwestycyjno-Inżynierskie Prosta Projekt z Chmielnika 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3D75B0">
        <w:rPr>
          <w:rStyle w:val="Strong"/>
          <w:rFonts w:cs="Segoe UI"/>
          <w:b w:val="0"/>
          <w:bCs/>
          <w:color w:val="auto"/>
        </w:rPr>
        <w:t>Zadanie nr 2. Przebudowa dróg gminnych ulic Marszałka Józefa Piłsudskiego, Placu Kościuszki i Ks. Józefa Granata wg dokumentacji opracowanej przez: St</w:t>
      </w:r>
      <w:r>
        <w:rPr>
          <w:rStyle w:val="Strong"/>
          <w:rFonts w:cs="Segoe UI"/>
          <w:b w:val="0"/>
          <w:bCs/>
          <w:color w:val="auto"/>
        </w:rPr>
        <w:t>udio Projektowe i </w:t>
      </w:r>
      <w:r w:rsidRPr="003D75B0">
        <w:rPr>
          <w:rStyle w:val="Strong"/>
          <w:rFonts w:cs="Segoe UI"/>
          <w:b w:val="0"/>
          <w:bCs/>
          <w:color w:val="auto"/>
        </w:rPr>
        <w:t>Wzorcownia NARADA Wiesław Michałek z Kr</w:t>
      </w:r>
      <w:r>
        <w:rPr>
          <w:rStyle w:val="Strong"/>
          <w:rFonts w:cs="Segoe UI"/>
          <w:b w:val="0"/>
          <w:bCs/>
          <w:color w:val="auto"/>
        </w:rPr>
        <w:t>akowa (w zakresie podstawowym i </w:t>
      </w:r>
      <w:r w:rsidRPr="003D75B0">
        <w:rPr>
          <w:rStyle w:val="Strong"/>
          <w:rFonts w:cs="Segoe UI"/>
          <w:b w:val="0"/>
          <w:bCs/>
          <w:color w:val="auto"/>
        </w:rPr>
        <w:t xml:space="preserve">skrzyżowania ulic: Piłsudskiego i Ks Granata z DW 749), Pracownię Projektową Trochimiuk Cezary ze Skarżyska–Kamiennej w zakresie likwidacji kolizji z ciepłociągiem, oraz PWiK w Końskich w zakresie likwidacji kolizji z wodociągiem   </w:t>
      </w:r>
      <w:r w:rsidRPr="003D75B0">
        <w:rPr>
          <w:rStyle w:val="Strong"/>
          <w:rFonts w:cs="Segoe UI"/>
          <w:bCs/>
          <w:color w:val="auto"/>
        </w:rPr>
        <w:t xml:space="preserve"> </w:t>
      </w:r>
      <w:r w:rsidRPr="003D75B0">
        <w:rPr>
          <w:color w:val="auto"/>
        </w:rPr>
        <w:t>oświetlenia służącego do oświetlenia ulic, parkingów, parków, ciągów pieszych oraz oświetlenia iluminacyjnego na terenie Miasta.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3D75B0">
        <w:rPr>
          <w:color w:val="auto"/>
        </w:rPr>
        <w:t xml:space="preserve">Szczegółowy zakres wykonania usługi został wymieniony w treści SIWZ oraz wzorze/projekcie. 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3D75B0">
        <w:rPr>
          <w:color w:val="auto"/>
        </w:rPr>
        <w:t xml:space="preserve">Brak jest jasnych i czytelnych opisów do poprawnej wyceny  jak i możliwość obliczeń do pracy przy projektach oświetlenia wszystkich typów oświetleń ulicznego należy dopisać wszystkie obowiązujące normy wskazane przez EU    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3D75B0">
        <w:rPr>
          <w:color w:val="auto"/>
        </w:rPr>
        <w:t>Wiadomo że nowe technologie są  droższe, brak podania rzetelnego opisu jest celowym działaniem  na szkodę zlecającego jak i firm które składają oferty.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3D75B0">
        <w:rPr>
          <w:b/>
          <w:color w:val="auto"/>
        </w:rPr>
        <w:t>Odp.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3D75B0">
        <w:rPr>
          <w:color w:val="auto"/>
        </w:rPr>
        <w:t>Sieć oświetlenia ulicznego ma być wykonana z materiałów dopuszczonych do obrotu na rynku budowlanym na terenie Polski.</w:t>
      </w: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</w:p>
    <w:p w:rsidR="00047969" w:rsidRPr="003D75B0" w:rsidRDefault="00047969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3D75B0">
        <w:rPr>
          <w:b/>
          <w:color w:val="auto"/>
        </w:rPr>
        <w:t xml:space="preserve">Pytanie 2.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Czy realizowany inwestycja   ma przyjęte obliczenia co do opraw  zgodne z klasami oświetlenia dróg M2 , M3, M6 które zapewnią  bezpieczeństwo ludzi  na oświetlaną powierzchnie, wymagane jest dołączenie odpowiednich obliczeń fotometrycznych co do norm  zamienników świateł sodowych.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b/>
          <w:sz w:val="24"/>
          <w:szCs w:val="24"/>
        </w:rPr>
      </w:pPr>
      <w:r w:rsidRPr="003D75B0">
        <w:rPr>
          <w:rFonts w:ascii="Times New Roman" w:hAnsi="Times New Roman" w:cs="Cambria"/>
          <w:b/>
          <w:sz w:val="24"/>
          <w:szCs w:val="24"/>
        </w:rPr>
        <w:t>Odp.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Rozwiązania były projektowane na klasę oświetlenia C – strefy konfliktów (ulice w obszarach handlowych, jednopoziomowe skrzyżowania o większym stopniu złożoności (rondo), chodniki i ścieżki rowerowe). Zamawiający nie może udostępnić obliczeń, gdyż są one wykonane dla konkretnej oprawy.</w:t>
      </w:r>
    </w:p>
    <w:p w:rsidR="00047969" w:rsidRPr="003021E1" w:rsidRDefault="00047969" w:rsidP="003D75B0">
      <w:pPr>
        <w:spacing w:after="0" w:line="240" w:lineRule="auto"/>
        <w:jc w:val="both"/>
        <w:rPr>
          <w:rFonts w:ascii="Times New Roman" w:eastAsia="Times New Roman" w:hAnsi="Times New Roman" w:cs="Cambria"/>
          <w:b/>
          <w:sz w:val="24"/>
          <w:szCs w:val="24"/>
        </w:rPr>
      </w:pPr>
      <w:r>
        <w:rPr>
          <w:rFonts w:ascii="Times New Roman" w:hAnsi="Times New Roman" w:cs="Cambria"/>
          <w:sz w:val="24"/>
          <w:szCs w:val="24"/>
        </w:rPr>
        <w:br w:type="page"/>
      </w:r>
      <w:r w:rsidRPr="003021E1">
        <w:rPr>
          <w:rFonts w:ascii="Times New Roman" w:hAnsi="Times New Roman" w:cs="Cambria"/>
          <w:b/>
          <w:sz w:val="24"/>
          <w:szCs w:val="24"/>
        </w:rPr>
        <w:t>Pytanie 3.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 xml:space="preserve">Czy zmiany w dokumentach powinny być zapisane w SIWZ zgodnie z obwiązujących ich Normami, które mają zastosowane, a nie zostały podane słupy lampy wysięgniki.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 xml:space="preserve">normy bezpieczeństwo powinny osobom poruszającym się po nich. Zapewnić </w:t>
      </w:r>
      <w:r>
        <w:rPr>
          <w:rFonts w:ascii="Times New Roman" w:eastAsia="Times New Roman" w:hAnsi="Times New Roman" w:cs="Cambria"/>
          <w:sz w:val="24"/>
          <w:szCs w:val="24"/>
        </w:rPr>
        <w:t xml:space="preserve">Norma PN-EN 12464-1 </w:t>
      </w:r>
      <w:r w:rsidRPr="003D75B0">
        <w:rPr>
          <w:rFonts w:ascii="Times New Roman" w:hAnsi="Times New Roman" w:cs="Cambria"/>
          <w:sz w:val="24"/>
          <w:szCs w:val="24"/>
        </w:rPr>
        <w:t xml:space="preserve">( Olśnienie ) które oślepia ludzi i kierowców na drogach  w pracy co może spowodować powolnym osłabienia wzroku z którym już ma problem spora grupa ludzi.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Nowych norm:    PN-EN 13201-2 :2016-03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ascii="Times New Roman" w:hAnsi="Times New Roman" w:cs="Cambria"/>
          <w:sz w:val="24"/>
          <w:szCs w:val="24"/>
        </w:rPr>
        <w:t xml:space="preserve">PN-EN60698-1       </w:t>
      </w:r>
      <w:r w:rsidRPr="003D75B0">
        <w:rPr>
          <w:rFonts w:ascii="Times New Roman" w:hAnsi="Times New Roman" w:cs="Cambria"/>
          <w:sz w:val="24"/>
          <w:szCs w:val="24"/>
        </w:rPr>
        <w:t>PN-EN60</w:t>
      </w:r>
      <w:r>
        <w:rPr>
          <w:rFonts w:ascii="Times New Roman" w:hAnsi="Times New Roman" w:cs="Cambria"/>
          <w:sz w:val="24"/>
          <w:szCs w:val="24"/>
        </w:rPr>
        <w:t xml:space="preserve">598-2-3  PN-EN 55015    </w:t>
      </w:r>
      <w:r w:rsidRPr="003D75B0">
        <w:rPr>
          <w:rFonts w:ascii="Times New Roman" w:hAnsi="Times New Roman" w:cs="Cambria"/>
          <w:sz w:val="24"/>
          <w:szCs w:val="24"/>
        </w:rPr>
        <w:t xml:space="preserve">PN-EN61547,    PN-EN61000-3-2, PN-EN61000-3-3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Czy produkty zakupione mają własności  intelektualnej  i przemys</w:t>
      </w:r>
      <w:r>
        <w:rPr>
          <w:rFonts w:ascii="Times New Roman" w:hAnsi="Times New Roman" w:cs="Cambria"/>
          <w:sz w:val="24"/>
          <w:szCs w:val="24"/>
        </w:rPr>
        <w:t>łowej w inwestycji co nie naraż</w:t>
      </w:r>
      <w:r w:rsidRPr="003D75B0">
        <w:rPr>
          <w:rFonts w:ascii="Times New Roman" w:hAnsi="Times New Roman" w:cs="Cambria"/>
          <w:sz w:val="24"/>
          <w:szCs w:val="24"/>
        </w:rPr>
        <w:t>a  na straty Inwestorów, i spowoduje  zmni</w:t>
      </w:r>
      <w:r>
        <w:rPr>
          <w:rFonts w:ascii="Times New Roman" w:hAnsi="Times New Roman" w:cs="Cambria"/>
          <w:sz w:val="24"/>
          <w:szCs w:val="24"/>
        </w:rPr>
        <w:t>ejszenie</w:t>
      </w:r>
      <w:r w:rsidRPr="003D75B0">
        <w:rPr>
          <w:rFonts w:ascii="Times New Roman" w:hAnsi="Times New Roman" w:cs="Cambria"/>
          <w:sz w:val="24"/>
          <w:szCs w:val="24"/>
        </w:rPr>
        <w:t xml:space="preserve"> się  nieuczciwej konkurencji,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Analizy służyły następujące akty prawne, rozporządzenia  Polskie, wynikający z art.4 ust.3 TUE oraz art.7 Konstytucji RP, obowiązek respektowania zasad prawa unijnego przy  kompetencji przewidzianych dla niego w ustawy respektowania Prawa własności  intelektualnej i przemysłowej przez Trybunał Sprawiedliwości  Unii Europejskiej i Normy obowiązujących.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b/>
          <w:sz w:val="24"/>
          <w:szCs w:val="24"/>
        </w:rPr>
      </w:pPr>
      <w:r w:rsidRPr="003D75B0">
        <w:rPr>
          <w:rFonts w:ascii="Times New Roman" w:hAnsi="Times New Roman" w:cs="Cambria"/>
          <w:b/>
          <w:sz w:val="24"/>
          <w:szCs w:val="24"/>
        </w:rPr>
        <w:t>Odp.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 xml:space="preserve">Na dzień ofertowania, Zamawiający nie zakłada zmian w dokumentacji. </w:t>
      </w:r>
      <w:r>
        <w:rPr>
          <w:rFonts w:ascii="Times New Roman" w:hAnsi="Times New Roman" w:cs="Cambria"/>
          <w:sz w:val="24"/>
          <w:szCs w:val="24"/>
        </w:rPr>
        <w:t>Wnioski o </w:t>
      </w:r>
      <w:r w:rsidRPr="003D75B0">
        <w:rPr>
          <w:rFonts w:ascii="Times New Roman" w:hAnsi="Times New Roman" w:cs="Cambria"/>
          <w:sz w:val="24"/>
          <w:szCs w:val="24"/>
        </w:rPr>
        <w:t>ewentualne zmiany pod względem ich zasadności i merytoryczności zostaną rozpatrzone na etapie robót budowlanych, a pod względem technicznym będą podlegały weryfikacji przez Nadzór Inwestorski i Nadzór Autorski. Rozwiązania wnioskowane do zmiany nie mogą być gorsze niż określone w dokumentacji projektowej i muszą posiadać odpowie</w:t>
      </w:r>
      <w:r>
        <w:rPr>
          <w:rFonts w:ascii="Times New Roman" w:hAnsi="Times New Roman" w:cs="Cambria"/>
          <w:sz w:val="24"/>
          <w:szCs w:val="24"/>
        </w:rPr>
        <w:t>dnie atesty i </w:t>
      </w:r>
      <w:r w:rsidRPr="003D75B0">
        <w:rPr>
          <w:rFonts w:ascii="Times New Roman" w:hAnsi="Times New Roman" w:cs="Cambria"/>
          <w:sz w:val="24"/>
          <w:szCs w:val="24"/>
        </w:rPr>
        <w:t xml:space="preserve">certyfikaty dopuszczające je do stosowania w Polsce.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b/>
          <w:sz w:val="24"/>
          <w:szCs w:val="24"/>
        </w:rPr>
      </w:pPr>
      <w:r w:rsidRPr="003D75B0">
        <w:rPr>
          <w:rFonts w:ascii="Times New Roman" w:hAnsi="Times New Roman" w:cs="Cambria"/>
          <w:b/>
          <w:sz w:val="24"/>
          <w:szCs w:val="24"/>
        </w:rPr>
        <w:t>Pytanie 4.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 xml:space="preserve">Czy proponowane  opraw oświetleniowych LED powinien posiadać dokument do technologii i  deklaracje  zgodności  z następującymi normami potwierdzonymi z zakresu bezpieczeństwa  użytkowania:  - EN 60598-1 _ EN 60598-2  w dokumentach do projektu i SIWZ nie zostały uwzględnione Normy EU. Dokumenty i numery ewidencyjny własności gruntów  do instalacje słupów  na terenie dla użytkowników i wymogów bezpieczeństwa. 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b/>
          <w:sz w:val="24"/>
          <w:szCs w:val="24"/>
        </w:rPr>
      </w:pPr>
      <w:r w:rsidRPr="003D75B0">
        <w:rPr>
          <w:rFonts w:ascii="Times New Roman" w:hAnsi="Times New Roman" w:cs="Cambria"/>
          <w:b/>
          <w:sz w:val="24"/>
          <w:szCs w:val="24"/>
        </w:rPr>
        <w:t>Odp.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Wszystkie wyroby, materiały i urządzenia budowlane planowane do wbudowania muszą być zgodne z dokumentacją projektową i posiadać dokumenty potwierdzające dopuszczenie ich do obrotu na rynek budowlany w Polsce.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b/>
          <w:sz w:val="24"/>
          <w:szCs w:val="24"/>
        </w:rPr>
      </w:pPr>
      <w:r w:rsidRPr="003D75B0">
        <w:rPr>
          <w:rFonts w:ascii="Times New Roman" w:hAnsi="Times New Roman" w:cs="Cambria"/>
          <w:b/>
          <w:sz w:val="24"/>
          <w:szCs w:val="24"/>
        </w:rPr>
        <w:t>Pytanie 5.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Czy brak jest  opisów ogólnych lampy i ich uchwytu mocowań wedł</w:t>
      </w:r>
      <w:r>
        <w:rPr>
          <w:rFonts w:ascii="Times New Roman" w:hAnsi="Times New Roman" w:cs="Cambria"/>
          <w:sz w:val="24"/>
          <w:szCs w:val="24"/>
        </w:rPr>
        <w:t>ug norm</w:t>
      </w:r>
      <w:r w:rsidRPr="003D75B0">
        <w:rPr>
          <w:rFonts w:ascii="Times New Roman" w:hAnsi="Times New Roman" w:cs="Cambria"/>
          <w:sz w:val="24"/>
          <w:szCs w:val="24"/>
        </w:rPr>
        <w:t xml:space="preserve">, jest niedopuszczalne podawanie nazw opraw , powinna być podana charakterystyka i normy minimum powyżej 110 lumenów  1W netto, oraz prawa do instalowanych produktów według zamienników  oświetlenia sodowego  </w:t>
      </w:r>
      <w:r w:rsidRPr="003D75B0">
        <w:rPr>
          <w:rFonts w:ascii="Times New Roman" w:hAnsi="Times New Roman" w:cs="Cambria"/>
          <w:b/>
          <w:sz w:val="24"/>
          <w:szCs w:val="24"/>
        </w:rPr>
        <w:t>Zielonych  Zamówień Publicznych i Kryteriów Unijnych</w:t>
      </w:r>
      <w:r w:rsidRPr="003D75B0">
        <w:rPr>
          <w:rFonts w:ascii="Times New Roman" w:hAnsi="Times New Roman" w:cs="Cambria"/>
          <w:sz w:val="24"/>
          <w:szCs w:val="24"/>
        </w:rPr>
        <w:t>, ( czytaj gogle )   które mogą ukierunkować wykonawcę i inwestora jakie produkty przedstawić do  rzetelnej  wyceny.  Jednocześnie dostosowując się do polityki klimatycznej kraju z zachowaniem strategii ustawy o zachowaniu niskoemisyjności,  z  zachowaniem ustawy o efektywności energetycznej.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 xml:space="preserve">Wszystkie oprawy LED lub sodowe powinny spełniać  niezbędne wytyczne EU co do średnicy  wysięgników i  mocowań instalacji oprawy. 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b/>
          <w:sz w:val="24"/>
          <w:szCs w:val="24"/>
        </w:rPr>
      </w:pPr>
      <w:r w:rsidRPr="003D75B0">
        <w:rPr>
          <w:rFonts w:ascii="Times New Roman" w:hAnsi="Times New Roman" w:cs="Cambria"/>
          <w:b/>
          <w:sz w:val="24"/>
          <w:szCs w:val="24"/>
        </w:rPr>
        <w:t>Odp.</w:t>
      </w:r>
    </w:p>
    <w:p w:rsidR="00047969" w:rsidRPr="003D75B0" w:rsidRDefault="00047969" w:rsidP="003D75B0">
      <w:pPr>
        <w:spacing w:after="0" w:line="240" w:lineRule="auto"/>
        <w:jc w:val="both"/>
        <w:rPr>
          <w:rFonts w:ascii="Times New Roman" w:hAnsi="Times New Roman" w:cs="Cambria"/>
          <w:sz w:val="24"/>
          <w:szCs w:val="24"/>
        </w:rPr>
      </w:pPr>
      <w:r w:rsidRPr="003D75B0">
        <w:rPr>
          <w:rFonts w:ascii="Times New Roman" w:hAnsi="Times New Roman" w:cs="Cambria"/>
          <w:sz w:val="24"/>
          <w:szCs w:val="24"/>
        </w:rPr>
        <w:t>Jeżeli opis lub projekt nie opisuje danego szczegółu technicznego to prawdopodobnie jest to rozwiązanie systemowe lub powszechnie znane w sztuce budowlanej. Wszystkie wyroby, materiały i urządzenia planowane do wbudowania muszą posiadać dokumenty potwierdzające dopuszczenie ich do obrotu na rynku budowlanym w Polsce, co dla Zamawiającego i Nadzoru Budowlanego jest gwarancją spełnienia obowiązujących norm i przepisów.</w:t>
      </w:r>
    </w:p>
    <w:p w:rsidR="00047969" w:rsidRDefault="00047969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7969" w:rsidRDefault="00047969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7969" w:rsidRPr="004A0AC7" w:rsidRDefault="00047969" w:rsidP="00302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AC7">
        <w:rPr>
          <w:rFonts w:ascii="Times New Roman" w:hAnsi="Times New Roman"/>
          <w:sz w:val="24"/>
          <w:szCs w:val="24"/>
        </w:rPr>
        <w:t>Zama</w:t>
      </w:r>
      <w:r>
        <w:rPr>
          <w:rFonts w:ascii="Times New Roman" w:hAnsi="Times New Roman"/>
          <w:sz w:val="24"/>
          <w:szCs w:val="24"/>
        </w:rPr>
        <w:t>wiający na podst. art. 38 ust. 4</w:t>
      </w:r>
      <w:r w:rsidRPr="004A0AC7">
        <w:rPr>
          <w:rFonts w:ascii="Times New Roman" w:hAnsi="Times New Roman"/>
          <w:sz w:val="24"/>
          <w:szCs w:val="24"/>
        </w:rPr>
        <w:t xml:space="preserve"> ustawy z dnia 29.01.2004r. – </w:t>
      </w:r>
      <w:hyperlink r:id="rId5" w:history="1">
        <w:r w:rsidRPr="004A0AC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Prawo zamówień publicznych</w:t>
        </w:r>
      </w:hyperlink>
      <w:r w:rsidRPr="004A0AC7">
        <w:rPr>
          <w:rFonts w:ascii="Times New Roman" w:hAnsi="Times New Roman"/>
          <w:sz w:val="24"/>
          <w:szCs w:val="24"/>
        </w:rPr>
        <w:t xml:space="preserve"> (Dz. U. z 2019 r. poz. 1843 t. j.)  </w:t>
      </w:r>
      <w:r w:rsidRPr="004A0AC7">
        <w:rPr>
          <w:rFonts w:ascii="Times New Roman" w:hAnsi="Times New Roman"/>
          <w:b/>
          <w:sz w:val="24"/>
          <w:szCs w:val="24"/>
        </w:rPr>
        <w:t>wprowadza modyfikację SIWZ w następujący sposób:</w:t>
      </w:r>
    </w:p>
    <w:p w:rsidR="00047969" w:rsidRDefault="00047969" w:rsidP="004A0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969" w:rsidRPr="004A0AC7" w:rsidRDefault="00047969" w:rsidP="004A0A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AC7">
        <w:rPr>
          <w:rFonts w:ascii="Times New Roman" w:hAnsi="Times New Roman"/>
          <w:b/>
          <w:sz w:val="24"/>
          <w:szCs w:val="24"/>
        </w:rPr>
        <w:t xml:space="preserve">w pkt 7 SIWZ </w:t>
      </w:r>
      <w:bookmarkStart w:id="0" w:name="_Toc259452978"/>
      <w:bookmarkStart w:id="1" w:name="_Toc264613804"/>
      <w:r w:rsidRPr="004A0AC7">
        <w:rPr>
          <w:rFonts w:ascii="Times New Roman" w:hAnsi="Times New Roman"/>
          <w:b/>
          <w:sz w:val="24"/>
          <w:szCs w:val="24"/>
        </w:rPr>
        <w:t xml:space="preserve"> - Termin wykonania zamówienia</w:t>
      </w:r>
      <w:bookmarkEnd w:id="0"/>
      <w:bookmarkEnd w:id="1"/>
      <w:r w:rsidRPr="004A0AC7">
        <w:rPr>
          <w:rFonts w:ascii="Times New Roman" w:hAnsi="Times New Roman"/>
          <w:b/>
          <w:sz w:val="24"/>
          <w:szCs w:val="24"/>
        </w:rPr>
        <w:t>:</w:t>
      </w:r>
    </w:p>
    <w:p w:rsidR="00047969" w:rsidRDefault="00047969" w:rsidP="004A0A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969" w:rsidRPr="004A0AC7" w:rsidRDefault="00047969" w:rsidP="004A0A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AC7">
        <w:rPr>
          <w:rFonts w:ascii="Times New Roman" w:hAnsi="Times New Roman"/>
          <w:b/>
          <w:sz w:val="24"/>
          <w:szCs w:val="24"/>
        </w:rPr>
        <w:t>zamiast zapisu:</w:t>
      </w:r>
    </w:p>
    <w:p w:rsidR="00047969" w:rsidRPr="004A0AC7" w:rsidRDefault="00047969" w:rsidP="004A0A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0AC7">
        <w:rPr>
          <w:rFonts w:ascii="Times New Roman" w:hAnsi="Times New Roman"/>
          <w:sz w:val="24"/>
          <w:szCs w:val="24"/>
        </w:rPr>
        <w:t>Dla zadania nr 2 – 24 miesiące od daty podpisania umowy.</w:t>
      </w:r>
    </w:p>
    <w:p w:rsidR="00047969" w:rsidRPr="004A0AC7" w:rsidRDefault="00047969" w:rsidP="004A0A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AC7">
        <w:rPr>
          <w:rFonts w:ascii="Times New Roman" w:hAnsi="Times New Roman"/>
          <w:b/>
          <w:sz w:val="24"/>
          <w:szCs w:val="24"/>
        </w:rPr>
        <w:t>wprowadza się  zapis:</w:t>
      </w:r>
    </w:p>
    <w:p w:rsidR="00047969" w:rsidRPr="004A0AC7" w:rsidRDefault="00047969" w:rsidP="004A0A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0AC7">
        <w:rPr>
          <w:rFonts w:ascii="Times New Roman" w:hAnsi="Times New Roman"/>
          <w:sz w:val="24"/>
          <w:szCs w:val="24"/>
        </w:rPr>
        <w:t xml:space="preserve">Dla zadania nr 2 – 12 </w:t>
      </w:r>
      <w:r>
        <w:rPr>
          <w:rFonts w:ascii="Times New Roman" w:hAnsi="Times New Roman"/>
          <w:sz w:val="24"/>
          <w:szCs w:val="24"/>
        </w:rPr>
        <w:t>miesięcy</w:t>
      </w:r>
      <w:r w:rsidRPr="004A0AC7">
        <w:rPr>
          <w:rFonts w:ascii="Times New Roman" w:hAnsi="Times New Roman"/>
          <w:sz w:val="24"/>
          <w:szCs w:val="24"/>
        </w:rPr>
        <w:t xml:space="preserve"> od daty podpisania umowy.</w:t>
      </w:r>
    </w:p>
    <w:p w:rsidR="00047969" w:rsidRPr="00525B38" w:rsidRDefault="00047969" w:rsidP="003021E1">
      <w:pPr>
        <w:pStyle w:val="NormalWeb"/>
        <w:spacing w:before="0" w:beforeAutospacing="0" w:after="0"/>
        <w:jc w:val="both"/>
      </w:pPr>
    </w:p>
    <w:p w:rsidR="00047969" w:rsidRDefault="00047969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7969" w:rsidRPr="00525B38" w:rsidRDefault="00047969" w:rsidP="00525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B38">
        <w:rPr>
          <w:rFonts w:ascii="Times New Roman" w:hAnsi="Times New Roman"/>
          <w:sz w:val="24"/>
          <w:szCs w:val="24"/>
        </w:rPr>
        <w:t>Zama</w:t>
      </w:r>
      <w:r>
        <w:rPr>
          <w:rFonts w:ascii="Times New Roman" w:hAnsi="Times New Roman"/>
          <w:sz w:val="24"/>
          <w:szCs w:val="24"/>
        </w:rPr>
        <w:t>wiający na podst. art. 12a ust 1</w:t>
      </w:r>
      <w:r w:rsidRPr="00525B38">
        <w:rPr>
          <w:rFonts w:ascii="Times New Roman" w:hAnsi="Times New Roman"/>
          <w:sz w:val="24"/>
          <w:szCs w:val="24"/>
        </w:rPr>
        <w:t xml:space="preserve"> ustawy z dnia 29.01.2004r. – </w:t>
      </w:r>
      <w:hyperlink r:id="rId6" w:history="1">
        <w:r w:rsidRPr="00525B3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Prawo zamówień publicznych</w:t>
        </w:r>
      </w:hyperlink>
      <w:r w:rsidRPr="00525B38">
        <w:rPr>
          <w:rFonts w:ascii="Times New Roman" w:hAnsi="Times New Roman"/>
          <w:sz w:val="24"/>
          <w:szCs w:val="24"/>
        </w:rPr>
        <w:t xml:space="preserve"> (Dz. U. z 2019 r. poz. 1843 t. j.)  </w:t>
      </w:r>
      <w:r w:rsidRPr="00525B38">
        <w:rPr>
          <w:rFonts w:ascii="Times New Roman" w:hAnsi="Times New Roman"/>
          <w:b/>
          <w:sz w:val="24"/>
          <w:szCs w:val="24"/>
        </w:rPr>
        <w:t>przedłuża termin składania ofert.</w:t>
      </w:r>
    </w:p>
    <w:p w:rsidR="00047969" w:rsidRPr="00525B38" w:rsidRDefault="00047969" w:rsidP="00525B38">
      <w:pPr>
        <w:pStyle w:val="NormalWeb"/>
        <w:spacing w:before="0" w:beforeAutospacing="0" w:after="0"/>
        <w:jc w:val="both"/>
      </w:pPr>
    </w:p>
    <w:p w:rsidR="00047969" w:rsidRPr="00525B38" w:rsidRDefault="00047969" w:rsidP="00525B38">
      <w:pPr>
        <w:pStyle w:val="normal0"/>
        <w:jc w:val="both"/>
        <w:rPr>
          <w:b/>
          <w:sz w:val="24"/>
          <w:szCs w:val="24"/>
        </w:rPr>
      </w:pPr>
      <w:r w:rsidRPr="00525B38">
        <w:rPr>
          <w:sz w:val="24"/>
          <w:szCs w:val="24"/>
        </w:rPr>
        <w:t>Zmienia się termin składania ofert z dni</w:t>
      </w:r>
      <w:r>
        <w:rPr>
          <w:sz w:val="24"/>
          <w:szCs w:val="24"/>
        </w:rPr>
        <w:t>a 06.07.2020</w:t>
      </w:r>
      <w:r w:rsidRPr="00525B38">
        <w:rPr>
          <w:sz w:val="24"/>
          <w:szCs w:val="24"/>
        </w:rPr>
        <w:t xml:space="preserve"> r.  na dzień </w:t>
      </w:r>
      <w:r>
        <w:rPr>
          <w:b/>
          <w:sz w:val="24"/>
          <w:szCs w:val="24"/>
        </w:rPr>
        <w:t>08.07.2020</w:t>
      </w:r>
      <w:r w:rsidRPr="00525B38">
        <w:rPr>
          <w:b/>
          <w:sz w:val="24"/>
          <w:szCs w:val="24"/>
        </w:rPr>
        <w:t xml:space="preserve"> r. </w:t>
      </w:r>
    </w:p>
    <w:p w:rsidR="00047969" w:rsidRPr="00525B38" w:rsidRDefault="00047969" w:rsidP="00525B38">
      <w:pPr>
        <w:pStyle w:val="normal0"/>
        <w:jc w:val="both"/>
        <w:rPr>
          <w:sz w:val="24"/>
          <w:szCs w:val="24"/>
        </w:rPr>
      </w:pPr>
    </w:p>
    <w:p w:rsidR="00047969" w:rsidRPr="00525B38" w:rsidRDefault="00047969" w:rsidP="00525B38">
      <w:pPr>
        <w:pStyle w:val="normal0"/>
        <w:jc w:val="both"/>
        <w:rPr>
          <w:b/>
          <w:sz w:val="24"/>
          <w:szCs w:val="24"/>
        </w:rPr>
      </w:pPr>
      <w:r w:rsidRPr="00525B38">
        <w:rPr>
          <w:sz w:val="24"/>
          <w:szCs w:val="24"/>
        </w:rPr>
        <w:t>Zmienia się te</w:t>
      </w:r>
      <w:r>
        <w:rPr>
          <w:sz w:val="24"/>
          <w:szCs w:val="24"/>
        </w:rPr>
        <w:t>rmin otwarcia ofert z dnia 06.07.2020</w:t>
      </w:r>
      <w:r w:rsidRPr="00525B38">
        <w:rPr>
          <w:sz w:val="24"/>
          <w:szCs w:val="24"/>
        </w:rPr>
        <w:t xml:space="preserve"> r.   na dzień</w:t>
      </w:r>
      <w:r>
        <w:rPr>
          <w:b/>
          <w:sz w:val="24"/>
          <w:szCs w:val="24"/>
        </w:rPr>
        <w:t xml:space="preserve"> 08.07.2020 </w:t>
      </w:r>
      <w:r w:rsidRPr="00525B38">
        <w:rPr>
          <w:b/>
          <w:sz w:val="24"/>
          <w:szCs w:val="24"/>
        </w:rPr>
        <w:t xml:space="preserve">r. </w:t>
      </w:r>
    </w:p>
    <w:p w:rsidR="00047969" w:rsidRPr="00525B38" w:rsidRDefault="00047969" w:rsidP="00525B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7969" w:rsidRDefault="00047969" w:rsidP="009818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047969" w:rsidRPr="009818FB" w:rsidRDefault="00047969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47969" w:rsidRPr="009818FB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C0E14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A122D3"/>
    <w:rsid w:val="00A13D1C"/>
    <w:rsid w:val="00A26AC0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Web">
    <w:name w:val="Normal (Web)"/>
    <w:basedOn w:val="Normal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0">
    <w:name w:val="normal"/>
    <w:basedOn w:val="Normal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25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D75B0"/>
    <w:rPr>
      <w:b/>
    </w:rPr>
  </w:style>
  <w:style w:type="paragraph" w:customStyle="1" w:styleId="western">
    <w:name w:val="western"/>
    <w:basedOn w:val="Normal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7.0.0.1:49152/lpAbc/lpext.dll?f=templates&amp;fn=abc.jump.htm&amp;id=abc.akt.du.2004.0177&amp;data=user" TargetMode="External"/><Relationship Id="rId5" Type="http://schemas.openxmlformats.org/officeDocument/2006/relationships/hyperlink" Target="http://127.0.0.1:49152/lpAbc/lpext.dll?f=templates&amp;fn=abc.jump.htm&amp;id=abc.akt.du.2004.0177&amp;data=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898</TotalTime>
  <Pages>3</Pages>
  <Words>981</Words>
  <Characters>5886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27</cp:revision>
  <cp:lastPrinted>2020-07-01T07:17:00Z</cp:lastPrinted>
  <dcterms:created xsi:type="dcterms:W3CDTF">2019-03-19T12:59:00Z</dcterms:created>
  <dcterms:modified xsi:type="dcterms:W3CDTF">2020-07-01T07:37:00Z</dcterms:modified>
</cp:coreProperties>
</file>